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C75" w:rsidRDefault="000349F3">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3C75">
        <w:t>VICTORIAN CIVIL AND ADMINISTRATIVE TRIBUNAL</w:t>
      </w:r>
    </w:p>
    <w:p w:rsidR="00153C75" w:rsidRDefault="00AC3170" w:rsidP="00F56D0C">
      <w:pPr>
        <w:pStyle w:val="TitlePage1"/>
        <w:spacing w:after="120"/>
      </w:pPr>
      <w:bookmarkStart w:id="1" w:name="Division"/>
      <w:bookmarkEnd w:id="1"/>
      <w:r>
        <w:t xml:space="preserve">civil </w:t>
      </w:r>
      <w:r w:rsidR="00153C75">
        <w:t>DIVISION</w:t>
      </w:r>
    </w:p>
    <w:tbl>
      <w:tblPr>
        <w:tblW w:w="5000" w:type="pct"/>
        <w:tblLook w:val="0000" w:firstRow="0" w:lastRow="0" w:firstColumn="0" w:lastColumn="0" w:noHBand="0" w:noVBand="0"/>
      </w:tblPr>
      <w:tblGrid>
        <w:gridCol w:w="4319"/>
        <w:gridCol w:w="4186"/>
      </w:tblGrid>
      <w:tr w:rsidR="00153C75">
        <w:trPr>
          <w:cantSplit/>
        </w:trPr>
        <w:tc>
          <w:tcPr>
            <w:tcW w:w="2539" w:type="pct"/>
          </w:tcPr>
          <w:p w:rsidR="00153C75" w:rsidRDefault="00AC3170">
            <w:pPr>
              <w:pStyle w:val="TitlePage2"/>
            </w:pPr>
            <w:bookmarkStart w:id="2" w:name="SubDivision"/>
            <w:bookmarkEnd w:id="2"/>
            <w:r>
              <w:t xml:space="preserve">owners corporations </w:t>
            </w:r>
            <w:r w:rsidR="00153C75">
              <w:t>LIST</w:t>
            </w:r>
          </w:p>
        </w:tc>
        <w:tc>
          <w:tcPr>
            <w:tcW w:w="2461" w:type="pct"/>
          </w:tcPr>
          <w:p w:rsidR="00153C75" w:rsidRDefault="00153C75">
            <w:pPr>
              <w:pStyle w:val="TitlePage3"/>
            </w:pPr>
            <w:bookmarkStart w:id="3" w:name="FileNo1"/>
            <w:bookmarkEnd w:id="3"/>
          </w:p>
          <w:p w:rsidR="00153C75" w:rsidRDefault="00AC3170">
            <w:pPr>
              <w:pStyle w:val="TitlePage3"/>
            </w:pPr>
            <w:r>
              <w:t>vcat reference No. OC1580/2018</w:t>
            </w:r>
          </w:p>
        </w:tc>
      </w:tr>
      <w:tr w:rsidR="00153C75">
        <w:tblPrEx>
          <w:jc w:val="center"/>
        </w:tblPrEx>
        <w:trPr>
          <w:cantSplit/>
          <w:jc w:val="center"/>
        </w:trPr>
        <w:tc>
          <w:tcPr>
            <w:tcW w:w="5000" w:type="pct"/>
            <w:gridSpan w:val="2"/>
          </w:tcPr>
          <w:p w:rsidR="00153C75" w:rsidRDefault="00153C75">
            <w:pPr>
              <w:pStyle w:val="TitlePage2"/>
              <w:jc w:val="center"/>
            </w:pPr>
            <w:r>
              <w:t>CATCHWORDS</w:t>
            </w:r>
          </w:p>
        </w:tc>
      </w:tr>
      <w:tr w:rsidR="00153C75">
        <w:tblPrEx>
          <w:jc w:val="center"/>
        </w:tblPrEx>
        <w:trPr>
          <w:cantSplit/>
          <w:jc w:val="center"/>
        </w:trPr>
        <w:tc>
          <w:tcPr>
            <w:tcW w:w="5000" w:type="pct"/>
            <w:gridSpan w:val="2"/>
          </w:tcPr>
          <w:p w:rsidR="00153C75" w:rsidRPr="007044D9" w:rsidRDefault="007044D9">
            <w:pPr>
              <w:pStyle w:val="Catchwords"/>
              <w:rPr>
                <w:color w:val="000000"/>
              </w:rPr>
            </w:pPr>
            <w:r>
              <w:rPr>
                <w:color w:val="000000"/>
              </w:rPr>
              <w:t>Subdivision of land; application to amend a residential plan of subdivision; section 32, 33 and 34D</w:t>
            </w:r>
            <w:r>
              <w:rPr>
                <w:i/>
                <w:color w:val="000000"/>
              </w:rPr>
              <w:t xml:space="preserve"> Subdivision Act 1988</w:t>
            </w:r>
            <w:r>
              <w:rPr>
                <w:color w:val="000000"/>
              </w:rPr>
              <w:t xml:space="preserve"> considered and applied; whether considerations under section 34D(1)(b) S</w:t>
            </w:r>
            <w:r w:rsidRPr="007044D9">
              <w:rPr>
                <w:i/>
                <w:color w:val="000000"/>
              </w:rPr>
              <w:t>ubdivision Act 1988</w:t>
            </w:r>
            <w:r>
              <w:rPr>
                <w:color w:val="000000"/>
              </w:rPr>
              <w:t xml:space="preserve"> are relevant to an application under section 34D(1)(a) </w:t>
            </w:r>
            <w:r w:rsidRPr="007044D9">
              <w:rPr>
                <w:i/>
                <w:color w:val="000000"/>
              </w:rPr>
              <w:t>Subdivision Act 1988</w:t>
            </w:r>
            <w:r>
              <w:rPr>
                <w:color w:val="000000"/>
              </w:rPr>
              <w:t xml:space="preserve">; </w:t>
            </w:r>
            <w:r w:rsidRPr="007044D9">
              <w:rPr>
                <w:i/>
                <w:color w:val="000000"/>
              </w:rPr>
              <w:t>O’Gorman</w:t>
            </w:r>
            <w:r>
              <w:rPr>
                <w:i/>
                <w:color w:val="000000"/>
              </w:rPr>
              <w:t xml:space="preserve"> </w:t>
            </w:r>
            <w:r w:rsidRPr="007044D9">
              <w:rPr>
                <w:i/>
                <w:color w:val="000000"/>
              </w:rPr>
              <w:t>v Owners Corporation RP 018831</w:t>
            </w:r>
            <w:r>
              <w:rPr>
                <w:color w:val="000000"/>
              </w:rPr>
              <w:t xml:space="preserve"> (Owners Corporations) [2017] VCAT 579 </w:t>
            </w:r>
            <w:r w:rsidR="00B37EA6">
              <w:rPr>
                <w:color w:val="000000"/>
              </w:rPr>
              <w:t>consider</w:t>
            </w:r>
            <w:r>
              <w:rPr>
                <w:color w:val="000000"/>
              </w:rPr>
              <w:t xml:space="preserve">ed and applied. </w:t>
            </w:r>
          </w:p>
        </w:tc>
      </w:tr>
    </w:tbl>
    <w:p w:rsidR="00153C75" w:rsidRDefault="00153C75">
      <w:bookmarkStart w:id="4" w:name="Catchwords"/>
      <w:bookmarkEnd w:id="4"/>
    </w:p>
    <w:tbl>
      <w:tblPr>
        <w:tblW w:w="5000" w:type="pct"/>
        <w:tblLook w:val="0000" w:firstRow="0" w:lastRow="0" w:firstColumn="0" w:lastColumn="0" w:noHBand="0" w:noVBand="0"/>
      </w:tblPr>
      <w:tblGrid>
        <w:gridCol w:w="3441"/>
        <w:gridCol w:w="5064"/>
      </w:tblGrid>
      <w:tr w:rsidR="00153C75">
        <w:tc>
          <w:tcPr>
            <w:tcW w:w="2023" w:type="pct"/>
          </w:tcPr>
          <w:p w:rsidR="00153C75" w:rsidRDefault="00153C75" w:rsidP="004B521A">
            <w:pPr>
              <w:pStyle w:val="TitlePage2"/>
              <w:spacing w:before="0" w:after="160"/>
            </w:pPr>
            <w:bookmarkStart w:id="5" w:name="DELcomplainants2"/>
            <w:bookmarkStart w:id="6" w:name="DELapp"/>
            <w:bookmarkStart w:id="7" w:name="DELitmo"/>
            <w:bookmarkStart w:id="8" w:name="DELcar"/>
            <w:r>
              <w:t>APPLICANT</w:t>
            </w:r>
          </w:p>
        </w:tc>
        <w:tc>
          <w:tcPr>
            <w:tcW w:w="2977" w:type="pct"/>
          </w:tcPr>
          <w:p w:rsidR="00153C75" w:rsidRDefault="00AC3170" w:rsidP="004B521A">
            <w:pPr>
              <w:pStyle w:val="TitlePagetext"/>
              <w:spacing w:before="0" w:after="160"/>
            </w:pPr>
            <w:bookmarkStart w:id="9" w:name="Applicant"/>
            <w:bookmarkEnd w:id="9"/>
            <w:r>
              <w:t>Owners Corporation SP27589F</w:t>
            </w:r>
          </w:p>
        </w:tc>
      </w:tr>
      <w:tr w:rsidR="00153C75" w:rsidRPr="00020E2B">
        <w:tc>
          <w:tcPr>
            <w:tcW w:w="2023" w:type="pct"/>
          </w:tcPr>
          <w:p w:rsidR="00153C75" w:rsidRDefault="00AC3170" w:rsidP="004B521A">
            <w:pPr>
              <w:pStyle w:val="TitlePage2"/>
              <w:spacing w:before="0" w:after="200"/>
            </w:pPr>
            <w:bookmarkStart w:id="10" w:name="DELrespondents2"/>
            <w:bookmarkEnd w:id="5"/>
            <w:bookmarkEnd w:id="6"/>
            <w:r>
              <w:t xml:space="preserve">first </w:t>
            </w:r>
            <w:r w:rsidR="00153C75">
              <w:t>RESPONDENT</w:t>
            </w:r>
          </w:p>
          <w:p w:rsidR="00AC3170" w:rsidRDefault="00AC3170" w:rsidP="004B521A">
            <w:pPr>
              <w:pStyle w:val="TitlePage2"/>
              <w:spacing w:before="0" w:after="200"/>
            </w:pPr>
            <w:r>
              <w:t>Second Respondent</w:t>
            </w:r>
          </w:p>
          <w:p w:rsidR="00AC3170" w:rsidRPr="00AC3170" w:rsidRDefault="00AC3170" w:rsidP="004B521A">
            <w:pPr>
              <w:pStyle w:val="TitlePage2"/>
              <w:spacing w:before="0" w:after="200"/>
            </w:pPr>
            <w:r>
              <w:t>Third respondent</w:t>
            </w:r>
          </w:p>
        </w:tc>
        <w:tc>
          <w:tcPr>
            <w:tcW w:w="2977" w:type="pct"/>
          </w:tcPr>
          <w:p w:rsidR="00153C75" w:rsidRDefault="00AC3170" w:rsidP="004B521A">
            <w:pPr>
              <w:pStyle w:val="TitlePagetext"/>
              <w:spacing w:before="0" w:after="160"/>
            </w:pPr>
            <w:bookmarkStart w:id="11" w:name="Respondent"/>
            <w:bookmarkEnd w:id="11"/>
            <w:r>
              <w:t>Mr Peter Roberts</w:t>
            </w:r>
          </w:p>
          <w:p w:rsidR="00020E2B" w:rsidRPr="00020E2B" w:rsidRDefault="00AC3170" w:rsidP="004B521A">
            <w:pPr>
              <w:pStyle w:val="TitlePagetext"/>
              <w:spacing w:before="0" w:after="160"/>
              <w:rPr>
                <w:lang w:val="es-CO"/>
              </w:rPr>
            </w:pPr>
            <w:r w:rsidRPr="00020E2B">
              <w:rPr>
                <w:lang w:val="es-CO"/>
              </w:rPr>
              <w:t>Ms Victoria Magee</w:t>
            </w:r>
          </w:p>
          <w:p w:rsidR="00AC3170" w:rsidRPr="00020E2B" w:rsidRDefault="00AC3170" w:rsidP="004B521A">
            <w:pPr>
              <w:pStyle w:val="TitlePagetext"/>
              <w:spacing w:before="0" w:after="160"/>
              <w:rPr>
                <w:lang w:val="es-CO"/>
              </w:rPr>
            </w:pPr>
            <w:r w:rsidRPr="00020E2B">
              <w:rPr>
                <w:lang w:val="es-CO"/>
              </w:rPr>
              <w:t>Ms</w:t>
            </w:r>
            <w:r w:rsidR="00020E2B" w:rsidRPr="00020E2B">
              <w:rPr>
                <w:lang w:val="es-CO"/>
              </w:rPr>
              <w:t xml:space="preserve"> Caryn Tan</w:t>
            </w:r>
          </w:p>
        </w:tc>
      </w:tr>
      <w:tr w:rsidR="00153C75">
        <w:tc>
          <w:tcPr>
            <w:tcW w:w="2023" w:type="pct"/>
          </w:tcPr>
          <w:p w:rsidR="00153C75" w:rsidRDefault="00153C75" w:rsidP="004B521A">
            <w:pPr>
              <w:pStyle w:val="TitlePage2"/>
              <w:spacing w:before="0" w:after="120"/>
            </w:pPr>
            <w:bookmarkStart w:id="12" w:name="INSresponsibleAuthority"/>
            <w:bookmarkEnd w:id="7"/>
            <w:bookmarkEnd w:id="8"/>
            <w:bookmarkEnd w:id="10"/>
            <w:bookmarkEnd w:id="12"/>
            <w:r>
              <w:t>WHERE HELD</w:t>
            </w:r>
          </w:p>
        </w:tc>
        <w:tc>
          <w:tcPr>
            <w:tcW w:w="2977" w:type="pct"/>
          </w:tcPr>
          <w:p w:rsidR="00153C75" w:rsidRDefault="00153C75" w:rsidP="004B521A">
            <w:pPr>
              <w:pStyle w:val="TitlePagetext"/>
              <w:spacing w:before="0" w:after="120"/>
            </w:pPr>
            <w:bookmarkStart w:id="13" w:name="Location"/>
            <w:bookmarkEnd w:id="13"/>
            <w:r>
              <w:t>Melbourne</w:t>
            </w:r>
          </w:p>
        </w:tc>
      </w:tr>
      <w:tr w:rsidR="00153C75">
        <w:tc>
          <w:tcPr>
            <w:tcW w:w="2023" w:type="pct"/>
          </w:tcPr>
          <w:p w:rsidR="00153C75" w:rsidRDefault="00153C75">
            <w:pPr>
              <w:pStyle w:val="TitlePage2"/>
            </w:pPr>
            <w:r>
              <w:t>BEFORE</w:t>
            </w:r>
          </w:p>
        </w:tc>
        <w:tc>
          <w:tcPr>
            <w:tcW w:w="2977" w:type="pct"/>
          </w:tcPr>
          <w:p w:rsidR="00153C75" w:rsidRDefault="003B1200">
            <w:pPr>
              <w:pStyle w:val="TitlePagetext"/>
            </w:pPr>
            <w:bookmarkStart w:id="14" w:name="Before"/>
            <w:bookmarkEnd w:id="14"/>
            <w:r>
              <w:t>R. Buchanan</w:t>
            </w:r>
            <w:r w:rsidR="00153C75">
              <w:t>, Member</w:t>
            </w:r>
          </w:p>
        </w:tc>
      </w:tr>
      <w:tr w:rsidR="00153C75">
        <w:tc>
          <w:tcPr>
            <w:tcW w:w="2023" w:type="pct"/>
          </w:tcPr>
          <w:p w:rsidR="00153C75" w:rsidRDefault="00153C75">
            <w:pPr>
              <w:pStyle w:val="TitlePage2"/>
            </w:pPr>
            <w:r>
              <w:t>HEARING TYPE</w:t>
            </w:r>
          </w:p>
        </w:tc>
        <w:tc>
          <w:tcPr>
            <w:tcW w:w="2977" w:type="pct"/>
          </w:tcPr>
          <w:p w:rsidR="00153C75" w:rsidRDefault="00153C75">
            <w:pPr>
              <w:pStyle w:val="TitlePagetext"/>
            </w:pPr>
            <w:bookmarkStart w:id="15" w:name="HearingType"/>
            <w:bookmarkEnd w:id="15"/>
            <w:r>
              <w:t>Hearing</w:t>
            </w:r>
          </w:p>
        </w:tc>
      </w:tr>
      <w:tr w:rsidR="00153C75">
        <w:tc>
          <w:tcPr>
            <w:tcW w:w="2023" w:type="pct"/>
          </w:tcPr>
          <w:p w:rsidR="00153C75" w:rsidRDefault="00153C75">
            <w:pPr>
              <w:pStyle w:val="TitlePage2"/>
            </w:pPr>
            <w:r>
              <w:t>DATE OF HEARING</w:t>
            </w:r>
          </w:p>
        </w:tc>
        <w:tc>
          <w:tcPr>
            <w:tcW w:w="2977" w:type="pct"/>
          </w:tcPr>
          <w:p w:rsidR="00153C75" w:rsidRDefault="00F17AE0">
            <w:pPr>
              <w:pStyle w:val="TitlePagetext"/>
            </w:pPr>
            <w:bookmarkStart w:id="16" w:name="HearingDate"/>
            <w:bookmarkEnd w:id="16"/>
            <w:r>
              <w:t>14 February 2019</w:t>
            </w:r>
          </w:p>
        </w:tc>
      </w:tr>
      <w:tr w:rsidR="00153C75">
        <w:tc>
          <w:tcPr>
            <w:tcW w:w="2023" w:type="pct"/>
          </w:tcPr>
          <w:p w:rsidR="00153C75" w:rsidRDefault="00153C75">
            <w:pPr>
              <w:pStyle w:val="TitlePage2"/>
            </w:pPr>
            <w:r>
              <w:t>DATE OF ORDER</w:t>
            </w:r>
          </w:p>
        </w:tc>
        <w:tc>
          <w:tcPr>
            <w:tcW w:w="2977" w:type="pct"/>
          </w:tcPr>
          <w:p w:rsidR="00153C75" w:rsidRDefault="009D4EDF">
            <w:pPr>
              <w:pStyle w:val="TitlePagetext"/>
            </w:pPr>
            <w:bookmarkStart w:id="17" w:name="DateOrder"/>
            <w:bookmarkEnd w:id="17"/>
            <w:r>
              <w:t>16 May 2019</w:t>
            </w:r>
          </w:p>
        </w:tc>
      </w:tr>
      <w:tr w:rsidR="00153C75">
        <w:tc>
          <w:tcPr>
            <w:tcW w:w="2023" w:type="pct"/>
          </w:tcPr>
          <w:p w:rsidR="00153C75" w:rsidRDefault="00153C75">
            <w:pPr>
              <w:pStyle w:val="TitlePage2"/>
            </w:pPr>
            <w:r>
              <w:t>CITATION</w:t>
            </w:r>
          </w:p>
        </w:tc>
        <w:tc>
          <w:tcPr>
            <w:tcW w:w="2977" w:type="pct"/>
          </w:tcPr>
          <w:p w:rsidR="00153C75" w:rsidRDefault="004B521A">
            <w:pPr>
              <w:pStyle w:val="TitlePagetext"/>
            </w:pPr>
            <w:r>
              <w:t>Owners Corporation SP27589F v Roberts (Owners Corporations) [2019] VCAT 723</w:t>
            </w:r>
          </w:p>
        </w:tc>
      </w:tr>
    </w:tbl>
    <w:p w:rsidR="00153C75" w:rsidRDefault="00153C75"/>
    <w:p w:rsidR="00153C75" w:rsidRDefault="00153C75">
      <w:pPr>
        <w:pStyle w:val="Heading1"/>
      </w:pPr>
      <w:r>
        <w:t>Order</w:t>
      </w:r>
    </w:p>
    <w:p w:rsidR="00153C75" w:rsidRDefault="00153C75"/>
    <w:p w:rsidR="00153C75" w:rsidRPr="00393D17" w:rsidRDefault="00F17AE0">
      <w:pPr>
        <w:rPr>
          <w:lang w:val="en-US"/>
        </w:rPr>
      </w:pPr>
      <w:r>
        <w:rPr>
          <w:lang w:val="en-US"/>
        </w:rPr>
        <w:t>The proceeding is dismissed.</w:t>
      </w:r>
    </w:p>
    <w:p w:rsidR="00153C75" w:rsidRDefault="00153C75"/>
    <w:p w:rsidR="00153C75" w:rsidRDefault="00153C75"/>
    <w:p w:rsidR="004B521A" w:rsidRDefault="004B521A"/>
    <w:p w:rsidR="00F56D0C" w:rsidRDefault="00F56D0C"/>
    <w:p w:rsidR="00153C75" w:rsidRDefault="00153C75"/>
    <w:tbl>
      <w:tblPr>
        <w:tblW w:w="5000" w:type="pct"/>
        <w:tblLook w:val="0000" w:firstRow="0" w:lastRow="0" w:firstColumn="0" w:lastColumn="0" w:noHBand="0" w:noVBand="0"/>
      </w:tblPr>
      <w:tblGrid>
        <w:gridCol w:w="2835"/>
        <w:gridCol w:w="2836"/>
        <w:gridCol w:w="2834"/>
      </w:tblGrid>
      <w:tr w:rsidR="00153C75">
        <w:tc>
          <w:tcPr>
            <w:tcW w:w="1667" w:type="pct"/>
          </w:tcPr>
          <w:p w:rsidR="00153C75" w:rsidRDefault="00F17AE0">
            <w:r>
              <w:t>R. Buchanan</w:t>
            </w:r>
          </w:p>
          <w:p w:rsidR="00153C75" w:rsidRDefault="00153C75">
            <w:pPr>
              <w:tabs>
                <w:tab w:val="left" w:pos="1515"/>
              </w:tabs>
              <w:rPr>
                <w:b/>
              </w:rPr>
            </w:pPr>
            <w:r>
              <w:rPr>
                <w:b/>
              </w:rPr>
              <w:t>Member</w:t>
            </w:r>
          </w:p>
        </w:tc>
        <w:tc>
          <w:tcPr>
            <w:tcW w:w="1667" w:type="pct"/>
          </w:tcPr>
          <w:p w:rsidR="00153C75" w:rsidRDefault="00153C75"/>
        </w:tc>
        <w:tc>
          <w:tcPr>
            <w:tcW w:w="1667" w:type="pct"/>
          </w:tcPr>
          <w:p w:rsidR="00153C75" w:rsidRDefault="00153C75"/>
        </w:tc>
      </w:tr>
    </w:tbl>
    <w:p w:rsidR="00F56D0C" w:rsidRDefault="00F56D0C">
      <w:bookmarkStart w:id="18" w:name="DELappearances"/>
    </w:p>
    <w:p w:rsidR="00153C75" w:rsidRDefault="00F56D0C" w:rsidP="00F56D0C">
      <w:r>
        <w:br w:type="page"/>
      </w:r>
    </w:p>
    <w:tbl>
      <w:tblPr>
        <w:tblW w:w="5000" w:type="pct"/>
        <w:tblLook w:val="0000" w:firstRow="0" w:lastRow="0" w:firstColumn="0" w:lastColumn="0" w:noHBand="0" w:noVBand="0"/>
      </w:tblPr>
      <w:tblGrid>
        <w:gridCol w:w="3441"/>
        <w:gridCol w:w="5064"/>
      </w:tblGrid>
      <w:tr w:rsidR="00153C75">
        <w:trPr>
          <w:cantSplit/>
        </w:trPr>
        <w:tc>
          <w:tcPr>
            <w:tcW w:w="2023" w:type="pct"/>
          </w:tcPr>
          <w:p w:rsidR="00153C75" w:rsidRDefault="000349F3">
            <w:pPr>
              <w:pStyle w:val="Heading2"/>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3C75">
              <w:t>APPEARANCES:</w:t>
            </w:r>
          </w:p>
        </w:tc>
        <w:tc>
          <w:tcPr>
            <w:tcW w:w="2977" w:type="pct"/>
          </w:tcPr>
          <w:p w:rsidR="00153C75" w:rsidRDefault="00153C75">
            <w:pPr>
              <w:pStyle w:val="TitlePagetext"/>
            </w:pPr>
          </w:p>
        </w:tc>
      </w:tr>
      <w:tr w:rsidR="00153C75">
        <w:trPr>
          <w:cantSplit/>
        </w:trPr>
        <w:tc>
          <w:tcPr>
            <w:tcW w:w="2023" w:type="pct"/>
          </w:tcPr>
          <w:p w:rsidR="00153C75" w:rsidRDefault="00153C75" w:rsidP="00F56D0C">
            <w:pPr>
              <w:pStyle w:val="TitlePagetext"/>
              <w:spacing w:after="80"/>
            </w:pPr>
            <w:r>
              <w:t xml:space="preserve">For </w:t>
            </w:r>
            <w:r w:rsidR="00F17AE0">
              <w:t xml:space="preserve">the </w:t>
            </w:r>
            <w:r>
              <w:t>Applicant</w:t>
            </w:r>
          </w:p>
        </w:tc>
        <w:tc>
          <w:tcPr>
            <w:tcW w:w="2977" w:type="pct"/>
          </w:tcPr>
          <w:p w:rsidR="00153C75" w:rsidRDefault="00F17AE0" w:rsidP="00F56D0C">
            <w:pPr>
              <w:pStyle w:val="TitlePagetext"/>
              <w:spacing w:after="80"/>
            </w:pPr>
            <w:r>
              <w:t>Mr J. B. Cohen</w:t>
            </w:r>
          </w:p>
        </w:tc>
      </w:tr>
      <w:tr w:rsidR="00153C75">
        <w:trPr>
          <w:cantSplit/>
        </w:trPr>
        <w:tc>
          <w:tcPr>
            <w:tcW w:w="2023" w:type="pct"/>
          </w:tcPr>
          <w:p w:rsidR="00153C75" w:rsidRDefault="00153C75">
            <w:pPr>
              <w:pStyle w:val="TitlePagetext"/>
            </w:pPr>
            <w:r>
              <w:t>For</w:t>
            </w:r>
            <w:r w:rsidR="00F17AE0">
              <w:t xml:space="preserve"> the First</w:t>
            </w:r>
            <w:r>
              <w:t xml:space="preserve"> Respondent</w:t>
            </w:r>
            <w:bookmarkStart w:id="19" w:name="FORres"/>
            <w:bookmarkEnd w:id="19"/>
          </w:p>
          <w:p w:rsidR="00F17AE0" w:rsidRDefault="00F17AE0">
            <w:pPr>
              <w:pStyle w:val="TitlePagetext"/>
            </w:pPr>
            <w:r>
              <w:t>For the Second Respondent</w:t>
            </w:r>
          </w:p>
          <w:p w:rsidR="00F17AE0" w:rsidRDefault="00F17AE0">
            <w:pPr>
              <w:pStyle w:val="TitlePagetext"/>
            </w:pPr>
            <w:r>
              <w:t>For the Third Respondent</w:t>
            </w:r>
          </w:p>
        </w:tc>
        <w:tc>
          <w:tcPr>
            <w:tcW w:w="2977" w:type="pct"/>
          </w:tcPr>
          <w:p w:rsidR="00153C75" w:rsidRDefault="00F17AE0">
            <w:pPr>
              <w:pStyle w:val="TitlePagetext"/>
            </w:pPr>
            <w:bookmarkStart w:id="20" w:name="APPres"/>
            <w:bookmarkEnd w:id="20"/>
            <w:r>
              <w:t>No appearance</w:t>
            </w:r>
          </w:p>
          <w:p w:rsidR="00F17AE0" w:rsidRDefault="00F17AE0">
            <w:pPr>
              <w:pStyle w:val="TitlePagetext"/>
            </w:pPr>
            <w:r>
              <w:t>No appearance</w:t>
            </w:r>
          </w:p>
          <w:p w:rsidR="00F56D0C" w:rsidRDefault="00F17AE0">
            <w:pPr>
              <w:pStyle w:val="TitlePagetext"/>
            </w:pPr>
            <w:r>
              <w:t>No appearance</w:t>
            </w:r>
          </w:p>
        </w:tc>
      </w:tr>
    </w:tbl>
    <w:p w:rsidR="00153C75" w:rsidRDefault="00F56D0C" w:rsidP="00F56D0C">
      <w:pPr>
        <w:pStyle w:val="Heading1"/>
      </w:pPr>
      <w:r>
        <w:br w:type="page"/>
      </w:r>
      <w:bookmarkEnd w:id="18"/>
      <w:r w:rsidR="000349F3">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3C75">
        <w:t>Reasons</w:t>
      </w:r>
    </w:p>
    <w:p w:rsidR="002F2BE7" w:rsidRPr="00113345" w:rsidRDefault="002F2BE7" w:rsidP="00F56D0C">
      <w:pPr>
        <w:pStyle w:val="Heading3"/>
        <w:rPr>
          <w:lang w:val="es-CO" w:eastAsia="es-CO"/>
        </w:rPr>
      </w:pPr>
      <w:r w:rsidRPr="00113345">
        <w:rPr>
          <w:lang w:val="es-CO" w:eastAsia="es-CO"/>
        </w:rPr>
        <w:t>Introduction</w:t>
      </w:r>
    </w:p>
    <w:p w:rsidR="002F2BE7" w:rsidRPr="00E72C9C" w:rsidRDefault="002F2BE7" w:rsidP="000B622A">
      <w:pPr>
        <w:pStyle w:val="Para1"/>
        <w:rPr>
          <w:lang w:val="en-US" w:eastAsia="es-CO"/>
        </w:rPr>
      </w:pPr>
      <w:r w:rsidRPr="00E72C9C">
        <w:rPr>
          <w:lang w:val="en-US" w:eastAsia="es-CO"/>
        </w:rPr>
        <w:t xml:space="preserve">This case is about </w:t>
      </w:r>
      <w:r w:rsidR="00772310" w:rsidRPr="00E72C9C">
        <w:rPr>
          <w:lang w:val="en-US" w:eastAsia="es-CO"/>
        </w:rPr>
        <w:t xml:space="preserve">altering </w:t>
      </w:r>
      <w:r w:rsidRPr="00E72C9C">
        <w:rPr>
          <w:lang w:val="en-US" w:eastAsia="es-CO"/>
        </w:rPr>
        <w:t>a plan of subdivision. The subdivision</w:t>
      </w:r>
      <w:r w:rsidR="002C7CBA" w:rsidRPr="00E72C9C">
        <w:rPr>
          <w:lang w:val="en-US" w:eastAsia="es-CO"/>
        </w:rPr>
        <w:t xml:space="preserve"> contains </w:t>
      </w:r>
      <w:r w:rsidR="00FD2DB2" w:rsidRPr="00E72C9C">
        <w:rPr>
          <w:lang w:val="en-US" w:eastAsia="es-CO"/>
        </w:rPr>
        <w:t>a number of</w:t>
      </w:r>
      <w:r w:rsidR="002C7CBA" w:rsidRPr="00E72C9C">
        <w:rPr>
          <w:lang w:val="en-US" w:eastAsia="es-CO"/>
        </w:rPr>
        <w:t xml:space="preserve"> apartments. T</w:t>
      </w:r>
      <w:r w:rsidRPr="00E72C9C">
        <w:rPr>
          <w:lang w:val="en-US" w:eastAsia="es-CO"/>
        </w:rPr>
        <w:t xml:space="preserve">he </w:t>
      </w:r>
      <w:r w:rsidR="0008337A" w:rsidRPr="00E72C9C">
        <w:rPr>
          <w:lang w:val="en-US" w:eastAsia="es-CO"/>
        </w:rPr>
        <w:t>owners of</w:t>
      </w:r>
      <w:r w:rsidRPr="00E72C9C">
        <w:rPr>
          <w:lang w:val="en-US" w:eastAsia="es-CO"/>
        </w:rPr>
        <w:t xml:space="preserve"> one of those apartments want to divide their lot into two separate lots.</w:t>
      </w:r>
      <w:r w:rsidR="00772310" w:rsidRPr="00E72C9C">
        <w:rPr>
          <w:lang w:val="en-US" w:eastAsia="es-CO"/>
        </w:rPr>
        <w:t xml:space="preserve"> For them to do so, the </w:t>
      </w:r>
      <w:r w:rsidR="00C727E8" w:rsidRPr="00E72C9C">
        <w:rPr>
          <w:lang w:val="en-US" w:eastAsia="es-CO"/>
        </w:rPr>
        <w:t>plan of subdiv</w:t>
      </w:r>
      <w:r w:rsidR="00E72C9C">
        <w:rPr>
          <w:lang w:val="en-US" w:eastAsia="es-CO"/>
        </w:rPr>
        <w:t>i</w:t>
      </w:r>
      <w:r w:rsidR="00C727E8" w:rsidRPr="00E72C9C">
        <w:rPr>
          <w:lang w:val="en-US" w:eastAsia="es-CO"/>
        </w:rPr>
        <w:t>sion</w:t>
      </w:r>
      <w:r w:rsidR="00772310" w:rsidRPr="00E72C9C">
        <w:rPr>
          <w:lang w:val="en-US" w:eastAsia="es-CO"/>
        </w:rPr>
        <w:t xml:space="preserve"> must be altered and, for that, the consent of all of their fellow lot owners is required.</w:t>
      </w:r>
      <w:r w:rsidRPr="00E72C9C">
        <w:rPr>
          <w:lang w:val="en-US" w:eastAsia="es-CO"/>
        </w:rPr>
        <w:t xml:space="preserve"> Not all of the other lot owners</w:t>
      </w:r>
      <w:r w:rsidR="00772310" w:rsidRPr="00E72C9C">
        <w:rPr>
          <w:lang w:val="en-US" w:eastAsia="es-CO"/>
        </w:rPr>
        <w:t xml:space="preserve"> have given their consent. In such a case</w:t>
      </w:r>
      <w:r w:rsidR="001741B0" w:rsidRPr="00E72C9C">
        <w:rPr>
          <w:lang w:val="en-US" w:eastAsia="es-CO"/>
        </w:rPr>
        <w:t>,</w:t>
      </w:r>
      <w:r w:rsidR="00772310" w:rsidRPr="00E72C9C">
        <w:rPr>
          <w:lang w:val="en-US" w:eastAsia="es-CO"/>
        </w:rPr>
        <w:t xml:space="preserve"> t</w:t>
      </w:r>
      <w:r w:rsidRPr="00E72C9C">
        <w:rPr>
          <w:lang w:val="en-US" w:eastAsia="es-CO"/>
        </w:rPr>
        <w:t xml:space="preserve">his Tribunal can </w:t>
      </w:r>
      <w:r w:rsidR="00E246AD" w:rsidRPr="00E72C9C">
        <w:rPr>
          <w:lang w:val="en-US" w:eastAsia="es-CO"/>
        </w:rPr>
        <w:t>order an owners corporation</w:t>
      </w:r>
      <w:r w:rsidRPr="00E72C9C">
        <w:rPr>
          <w:lang w:val="en-US" w:eastAsia="es-CO"/>
        </w:rPr>
        <w:t xml:space="preserve"> </w:t>
      </w:r>
      <w:r w:rsidR="00FD2DB2" w:rsidRPr="00E72C9C">
        <w:rPr>
          <w:lang w:val="en-US" w:eastAsia="es-CO"/>
        </w:rPr>
        <w:t>to</w:t>
      </w:r>
      <w:r w:rsidR="00E72C9C">
        <w:rPr>
          <w:lang w:val="en-US" w:eastAsia="es-CO"/>
        </w:rPr>
        <w:t xml:space="preserve"> </w:t>
      </w:r>
      <w:r w:rsidR="00E246AD" w:rsidRPr="00E72C9C">
        <w:rPr>
          <w:lang w:val="en-US" w:eastAsia="es-CO"/>
        </w:rPr>
        <w:t>amend its</w:t>
      </w:r>
      <w:r w:rsidR="00772310" w:rsidRPr="00E72C9C">
        <w:rPr>
          <w:lang w:val="en-US" w:eastAsia="es-CO"/>
        </w:rPr>
        <w:t xml:space="preserve"> plan of subdivision</w:t>
      </w:r>
      <w:r w:rsidRPr="00E72C9C">
        <w:rPr>
          <w:lang w:val="en-US" w:eastAsia="es-CO"/>
        </w:rPr>
        <w:t>.</w:t>
      </w:r>
    </w:p>
    <w:p w:rsidR="002F2BE7" w:rsidRPr="00113345" w:rsidRDefault="002F2BE7" w:rsidP="00F56D0C">
      <w:pPr>
        <w:pStyle w:val="Heading3"/>
        <w:rPr>
          <w:lang w:val="es-CO" w:eastAsia="es-CO"/>
        </w:rPr>
      </w:pPr>
      <w:r w:rsidRPr="00113345">
        <w:rPr>
          <w:lang w:val="es-CO" w:eastAsia="es-CO"/>
        </w:rPr>
        <w:t>Background</w:t>
      </w:r>
    </w:p>
    <w:p w:rsidR="0022798C" w:rsidRDefault="002F2BE7" w:rsidP="002F2BE7">
      <w:pPr>
        <w:pStyle w:val="Para1"/>
        <w:rPr>
          <w:lang w:val="en-US" w:eastAsia="es-CO"/>
        </w:rPr>
      </w:pPr>
      <w:r w:rsidRPr="002F2BE7">
        <w:rPr>
          <w:lang w:val="en-US" w:eastAsia="es-CO"/>
        </w:rPr>
        <w:t>In 198</w:t>
      </w:r>
      <w:r w:rsidR="00A23691">
        <w:rPr>
          <w:lang w:val="en-US" w:eastAsia="es-CO"/>
        </w:rPr>
        <w:t>7</w:t>
      </w:r>
      <w:r w:rsidRPr="002F2BE7">
        <w:rPr>
          <w:lang w:val="en-US" w:eastAsia="es-CO"/>
        </w:rPr>
        <w:t xml:space="preserve"> a plan</w:t>
      </w:r>
      <w:r>
        <w:rPr>
          <w:lang w:val="en-US" w:eastAsia="es-CO"/>
        </w:rPr>
        <w:t xml:space="preserve"> of subdivision was registered </w:t>
      </w:r>
      <w:r w:rsidRPr="002F2BE7">
        <w:rPr>
          <w:lang w:val="en-US" w:eastAsia="es-CO"/>
        </w:rPr>
        <w:t xml:space="preserve">for </w:t>
      </w:r>
      <w:r w:rsidR="00B37EA6">
        <w:rPr>
          <w:lang w:val="en-US" w:eastAsia="es-CO"/>
        </w:rPr>
        <w:t xml:space="preserve">the </w:t>
      </w:r>
      <w:r w:rsidR="001B0148">
        <w:rPr>
          <w:lang w:val="en-US" w:eastAsia="es-CO"/>
        </w:rPr>
        <w:t>su</w:t>
      </w:r>
      <w:r w:rsidR="001741B0">
        <w:rPr>
          <w:lang w:val="en-US" w:eastAsia="es-CO"/>
        </w:rPr>
        <w:t xml:space="preserve">bdivision </w:t>
      </w:r>
      <w:r w:rsidR="00F56D0C">
        <w:rPr>
          <w:lang w:val="en-US" w:eastAsia="es-CO"/>
        </w:rPr>
        <w:t xml:space="preserve">of </w:t>
      </w:r>
      <w:r w:rsidR="001B0148">
        <w:rPr>
          <w:lang w:val="en-US" w:eastAsia="es-CO"/>
        </w:rPr>
        <w:t>an existing apartment building</w:t>
      </w:r>
      <w:r w:rsidR="00E72C9C">
        <w:rPr>
          <w:lang w:val="en-US" w:eastAsia="es-CO"/>
        </w:rPr>
        <w:t>,</w:t>
      </w:r>
      <w:r w:rsidR="001B0148">
        <w:rPr>
          <w:lang w:val="en-US" w:eastAsia="es-CO"/>
        </w:rPr>
        <w:t xml:space="preserve"> </w:t>
      </w:r>
      <w:r w:rsidR="001741B0">
        <w:rPr>
          <w:lang w:val="en-US" w:eastAsia="es-CO"/>
        </w:rPr>
        <w:t>in a court in Highe</w:t>
      </w:r>
      <w:r>
        <w:rPr>
          <w:lang w:val="en-US" w:eastAsia="es-CO"/>
        </w:rPr>
        <w:t>tt.</w:t>
      </w:r>
      <w:r w:rsidRPr="002F2BE7">
        <w:rPr>
          <w:lang w:val="en-US" w:eastAsia="es-CO"/>
        </w:rPr>
        <w:t xml:space="preserve"> The </w:t>
      </w:r>
      <w:r w:rsidR="001B0148">
        <w:rPr>
          <w:lang w:val="en-US" w:eastAsia="es-CO"/>
        </w:rPr>
        <w:t>subdivision contains</w:t>
      </w:r>
      <w:r>
        <w:rPr>
          <w:lang w:val="en-US" w:eastAsia="es-CO"/>
        </w:rPr>
        <w:t xml:space="preserve"> </w:t>
      </w:r>
      <w:r w:rsidR="00F56D0C">
        <w:rPr>
          <w:lang w:val="en-US" w:eastAsia="es-CO"/>
        </w:rPr>
        <w:t>ten</w:t>
      </w:r>
      <w:r>
        <w:rPr>
          <w:lang w:val="en-US" w:eastAsia="es-CO"/>
        </w:rPr>
        <w:t xml:space="preserve"> apartments - five </w:t>
      </w:r>
      <w:r w:rsidRPr="002F2BE7">
        <w:rPr>
          <w:lang w:val="en-US" w:eastAsia="es-CO"/>
        </w:rPr>
        <w:t>apartments</w:t>
      </w:r>
      <w:r w:rsidR="00A45005">
        <w:rPr>
          <w:lang w:val="en-US" w:eastAsia="es-CO"/>
        </w:rPr>
        <w:t xml:space="preserve"> with two</w:t>
      </w:r>
      <w:r w:rsidR="00A45005" w:rsidRPr="002F2BE7">
        <w:rPr>
          <w:lang w:val="en-US" w:eastAsia="es-CO"/>
        </w:rPr>
        <w:t xml:space="preserve"> bedroom</w:t>
      </w:r>
      <w:r w:rsidR="00A45005">
        <w:rPr>
          <w:lang w:val="en-US" w:eastAsia="es-CO"/>
        </w:rPr>
        <w:t>s</w:t>
      </w:r>
      <w:r w:rsidRPr="002F2BE7">
        <w:rPr>
          <w:lang w:val="en-US" w:eastAsia="es-CO"/>
        </w:rPr>
        <w:t xml:space="preserve"> and five</w:t>
      </w:r>
      <w:r w:rsidR="00A45005">
        <w:rPr>
          <w:lang w:val="en-US" w:eastAsia="es-CO"/>
        </w:rPr>
        <w:t xml:space="preserve"> with one bedroom</w:t>
      </w:r>
      <w:r w:rsidRPr="002F2BE7">
        <w:rPr>
          <w:lang w:val="en-US" w:eastAsia="es-CO"/>
        </w:rPr>
        <w:t xml:space="preserve">. The apartments </w:t>
      </w:r>
      <w:r w:rsidR="001B0148">
        <w:rPr>
          <w:lang w:val="en-US" w:eastAsia="es-CO"/>
        </w:rPr>
        <w:t>ar</w:t>
      </w:r>
      <w:r w:rsidRPr="002F2BE7">
        <w:rPr>
          <w:lang w:val="en-US" w:eastAsia="es-CO"/>
        </w:rPr>
        <w:t xml:space="preserve">e all </w:t>
      </w:r>
      <w:r w:rsidR="00A45005">
        <w:rPr>
          <w:lang w:val="en-US" w:eastAsia="es-CO"/>
        </w:rPr>
        <w:t>contained</w:t>
      </w:r>
      <w:r w:rsidRPr="002F2BE7">
        <w:rPr>
          <w:lang w:val="en-US" w:eastAsia="es-CO"/>
        </w:rPr>
        <w:t xml:space="preserve"> in one single building</w:t>
      </w:r>
      <w:r w:rsidR="00A45005">
        <w:rPr>
          <w:lang w:val="en-US" w:eastAsia="es-CO"/>
        </w:rPr>
        <w:t xml:space="preserve">. </w:t>
      </w:r>
      <w:r w:rsidRPr="002F2BE7">
        <w:rPr>
          <w:lang w:val="en-US" w:eastAsia="es-CO"/>
        </w:rPr>
        <w:t>The apartment</w:t>
      </w:r>
      <w:r w:rsidR="00A45005">
        <w:rPr>
          <w:lang w:val="en-US" w:eastAsia="es-CO"/>
        </w:rPr>
        <w:t>s match each other, save for the apartment in lot 6</w:t>
      </w:r>
      <w:r w:rsidRPr="002F2BE7">
        <w:rPr>
          <w:lang w:val="en-US" w:eastAsia="es-CO"/>
        </w:rPr>
        <w:t xml:space="preserve">. </w:t>
      </w:r>
      <w:r w:rsidR="006429E6">
        <w:rPr>
          <w:lang w:val="en-US" w:eastAsia="es-CO"/>
        </w:rPr>
        <w:t>Each apartment h</w:t>
      </w:r>
      <w:r w:rsidR="001B0148">
        <w:rPr>
          <w:lang w:val="en-US" w:eastAsia="es-CO"/>
        </w:rPr>
        <w:t>a</w:t>
      </w:r>
      <w:r w:rsidR="006429E6">
        <w:rPr>
          <w:lang w:val="en-US" w:eastAsia="es-CO"/>
        </w:rPr>
        <w:t>s a car park lot.</w:t>
      </w:r>
    </w:p>
    <w:p w:rsidR="002F2BE7" w:rsidRPr="002F2BE7" w:rsidRDefault="00A45005" w:rsidP="002F2BE7">
      <w:pPr>
        <w:pStyle w:val="Para1"/>
        <w:rPr>
          <w:lang w:val="en-US" w:eastAsia="es-CO"/>
        </w:rPr>
      </w:pPr>
      <w:r>
        <w:rPr>
          <w:lang w:val="en-US" w:eastAsia="es-CO"/>
        </w:rPr>
        <w:t>Lot 6</w:t>
      </w:r>
      <w:r w:rsidR="001741B0">
        <w:rPr>
          <w:lang w:val="en-US" w:eastAsia="es-CO"/>
        </w:rPr>
        <w:t xml:space="preserve"> s</w:t>
      </w:r>
      <w:r w:rsidR="001B0148">
        <w:rPr>
          <w:lang w:val="en-US" w:eastAsia="es-CO"/>
        </w:rPr>
        <w:t>its</w:t>
      </w:r>
      <w:r w:rsidR="001741B0">
        <w:rPr>
          <w:lang w:val="en-US" w:eastAsia="es-CO"/>
        </w:rPr>
        <w:t xml:space="preserve"> at the end of the building. It</w:t>
      </w:r>
      <w:r w:rsidR="002F2BE7" w:rsidRPr="002F2BE7">
        <w:rPr>
          <w:lang w:val="en-US" w:eastAsia="es-CO"/>
        </w:rPr>
        <w:t xml:space="preserve"> contain</w:t>
      </w:r>
      <w:r w:rsidR="001B0148">
        <w:rPr>
          <w:lang w:val="en-US" w:eastAsia="es-CO"/>
        </w:rPr>
        <w:t>s</w:t>
      </w:r>
      <w:r w:rsidR="002F2BE7" w:rsidRPr="002F2BE7">
        <w:rPr>
          <w:lang w:val="en-US" w:eastAsia="es-CO"/>
        </w:rPr>
        <w:t xml:space="preserve"> a two</w:t>
      </w:r>
      <w:r w:rsidR="00D6293E">
        <w:rPr>
          <w:lang w:val="en-US" w:eastAsia="es-CO"/>
        </w:rPr>
        <w:t>-</w:t>
      </w:r>
      <w:r w:rsidR="002F2BE7" w:rsidRPr="002F2BE7">
        <w:rPr>
          <w:lang w:val="en-US" w:eastAsia="es-CO"/>
        </w:rPr>
        <w:t xml:space="preserve">bedroom apartment of the same proportions as </w:t>
      </w:r>
      <w:r w:rsidR="00D6293E">
        <w:rPr>
          <w:lang w:val="en-US" w:eastAsia="es-CO"/>
        </w:rPr>
        <w:t>its two-bedroom</w:t>
      </w:r>
      <w:r w:rsidR="002F2BE7" w:rsidRPr="002F2BE7">
        <w:rPr>
          <w:lang w:val="en-US" w:eastAsia="es-CO"/>
        </w:rPr>
        <w:t xml:space="preserve"> fellows</w:t>
      </w:r>
      <w:r>
        <w:rPr>
          <w:lang w:val="en-US" w:eastAsia="es-CO"/>
        </w:rPr>
        <w:t>,</w:t>
      </w:r>
      <w:r w:rsidR="00CB25E7">
        <w:rPr>
          <w:lang w:val="en-US" w:eastAsia="es-CO"/>
        </w:rPr>
        <w:t xml:space="preserve"> but the land</w:t>
      </w:r>
      <w:r w:rsidR="002F2BE7" w:rsidRPr="002F2BE7">
        <w:rPr>
          <w:lang w:val="en-US" w:eastAsia="es-CO"/>
        </w:rPr>
        <w:t xml:space="preserve"> area of the </w:t>
      </w:r>
      <w:r>
        <w:rPr>
          <w:lang w:val="en-US" w:eastAsia="es-CO"/>
        </w:rPr>
        <w:t xml:space="preserve">lot </w:t>
      </w:r>
      <w:r w:rsidR="001B0148">
        <w:rPr>
          <w:lang w:val="en-US" w:eastAsia="es-CO"/>
        </w:rPr>
        <w:t>i</w:t>
      </w:r>
      <w:r>
        <w:rPr>
          <w:lang w:val="en-US" w:eastAsia="es-CO"/>
        </w:rPr>
        <w:t>s dramatically larger.</w:t>
      </w:r>
    </w:p>
    <w:p w:rsidR="002F2BE7" w:rsidRPr="002F2BE7" w:rsidRDefault="00A45005" w:rsidP="002F2BE7">
      <w:pPr>
        <w:pStyle w:val="Para1"/>
        <w:rPr>
          <w:lang w:val="en-US" w:eastAsia="es-CO"/>
        </w:rPr>
      </w:pPr>
      <w:r>
        <w:rPr>
          <w:lang w:val="en-US" w:eastAsia="es-CO"/>
        </w:rPr>
        <w:t>Lot 6</w:t>
      </w:r>
      <w:r w:rsidR="001510B4">
        <w:rPr>
          <w:lang w:val="en-US" w:eastAsia="es-CO"/>
        </w:rPr>
        <w:t>’</w:t>
      </w:r>
      <w:r>
        <w:rPr>
          <w:lang w:val="en-US" w:eastAsia="es-CO"/>
        </w:rPr>
        <w:t>s apartment s</w:t>
      </w:r>
      <w:r w:rsidR="001B0148">
        <w:rPr>
          <w:lang w:val="en-US" w:eastAsia="es-CO"/>
        </w:rPr>
        <w:t>its</w:t>
      </w:r>
      <w:r w:rsidR="002F2BE7" w:rsidRPr="002F2BE7">
        <w:rPr>
          <w:lang w:val="en-US" w:eastAsia="es-CO"/>
        </w:rPr>
        <w:t xml:space="preserve"> in a</w:t>
      </w:r>
      <w:r w:rsidR="00FD2DB2">
        <w:rPr>
          <w:lang w:val="en-US" w:eastAsia="es-CO"/>
        </w:rPr>
        <w:t xml:space="preserve"> small</w:t>
      </w:r>
      <w:r w:rsidR="002F2BE7" w:rsidRPr="002F2BE7">
        <w:rPr>
          <w:lang w:val="en-US" w:eastAsia="es-CO"/>
        </w:rPr>
        <w:t xml:space="preserve"> area</w:t>
      </w:r>
      <w:r w:rsidR="009D4EDF">
        <w:rPr>
          <w:lang w:val="en-US" w:eastAsia="es-CO"/>
        </w:rPr>
        <w:t>,</w:t>
      </w:r>
      <w:r w:rsidR="002F2BE7" w:rsidRPr="002F2BE7">
        <w:rPr>
          <w:lang w:val="en-US" w:eastAsia="es-CO"/>
        </w:rPr>
        <w:t xml:space="preserve"> fenced off from the</w:t>
      </w:r>
      <w:r w:rsidR="00FD2DB2">
        <w:rPr>
          <w:lang w:val="en-US" w:eastAsia="es-CO"/>
        </w:rPr>
        <w:t xml:space="preserve"> (much larger)</w:t>
      </w:r>
      <w:r w:rsidR="002F2BE7" w:rsidRPr="002F2BE7">
        <w:rPr>
          <w:lang w:val="en-US" w:eastAsia="es-CO"/>
        </w:rPr>
        <w:t xml:space="preserve"> balance of the lot. The footprint of that fenced off area </w:t>
      </w:r>
      <w:r w:rsidR="001B0148">
        <w:rPr>
          <w:lang w:val="en-US" w:eastAsia="es-CO"/>
        </w:rPr>
        <w:t>i</w:t>
      </w:r>
      <w:r w:rsidR="002F2BE7" w:rsidRPr="002F2BE7">
        <w:rPr>
          <w:lang w:val="en-US" w:eastAsia="es-CO"/>
        </w:rPr>
        <w:t xml:space="preserve">s similar to the </w:t>
      </w:r>
      <w:r w:rsidR="009D4EDF">
        <w:rPr>
          <w:lang w:val="en-US" w:eastAsia="es-CO"/>
        </w:rPr>
        <w:t>footprint</w:t>
      </w:r>
      <w:r w:rsidR="002F2BE7" w:rsidRPr="002F2BE7">
        <w:rPr>
          <w:lang w:val="en-US" w:eastAsia="es-CO"/>
        </w:rPr>
        <w:t xml:space="preserve"> of the other tw</w:t>
      </w:r>
      <w:r>
        <w:rPr>
          <w:lang w:val="en-US" w:eastAsia="es-CO"/>
        </w:rPr>
        <w:t>o</w:t>
      </w:r>
      <w:r w:rsidR="00D6293E">
        <w:rPr>
          <w:lang w:val="en-US" w:eastAsia="es-CO"/>
        </w:rPr>
        <w:t>-</w:t>
      </w:r>
      <w:r>
        <w:rPr>
          <w:lang w:val="en-US" w:eastAsia="es-CO"/>
        </w:rPr>
        <w:t>bedroom lots. The balance of l</w:t>
      </w:r>
      <w:r w:rsidR="002F2BE7" w:rsidRPr="002F2BE7">
        <w:rPr>
          <w:lang w:val="en-US" w:eastAsia="es-CO"/>
        </w:rPr>
        <w:t xml:space="preserve">ot 6, </w:t>
      </w:r>
      <w:r w:rsidR="00CB25E7">
        <w:rPr>
          <w:lang w:val="en-US" w:eastAsia="es-CO"/>
        </w:rPr>
        <w:t xml:space="preserve">the part </w:t>
      </w:r>
      <w:r w:rsidR="002F2BE7" w:rsidRPr="002F2BE7">
        <w:rPr>
          <w:lang w:val="en-US" w:eastAsia="es-CO"/>
        </w:rPr>
        <w:t xml:space="preserve">outside lot </w:t>
      </w:r>
      <w:r>
        <w:rPr>
          <w:lang w:val="en-US" w:eastAsia="es-CO"/>
        </w:rPr>
        <w:t>6</w:t>
      </w:r>
      <w:r w:rsidR="001510B4">
        <w:rPr>
          <w:lang w:val="en-US" w:eastAsia="es-CO"/>
        </w:rPr>
        <w:t>’</w:t>
      </w:r>
      <w:r w:rsidR="002F2BE7" w:rsidRPr="002F2BE7">
        <w:rPr>
          <w:lang w:val="en-US" w:eastAsia="es-CO"/>
        </w:rPr>
        <w:t>s fenced off area,</w:t>
      </w:r>
      <w:r w:rsidR="00642708">
        <w:rPr>
          <w:lang w:val="en-US" w:eastAsia="es-CO"/>
        </w:rPr>
        <w:t xml:space="preserve"> </w:t>
      </w:r>
      <w:r w:rsidR="001B0148">
        <w:rPr>
          <w:lang w:val="en-US" w:eastAsia="es-CO"/>
        </w:rPr>
        <w:t>i</w:t>
      </w:r>
      <w:r w:rsidR="00FD2DB2">
        <w:rPr>
          <w:lang w:val="en-US" w:eastAsia="es-CO"/>
        </w:rPr>
        <w:t>s</w:t>
      </w:r>
      <w:r w:rsidR="00642708">
        <w:rPr>
          <w:lang w:val="en-US" w:eastAsia="es-CO"/>
        </w:rPr>
        <w:t xml:space="preserve"> </w:t>
      </w:r>
      <w:r w:rsidR="0008337A">
        <w:rPr>
          <w:lang w:val="en-US" w:eastAsia="es-CO"/>
        </w:rPr>
        <w:t xml:space="preserve">some </w:t>
      </w:r>
      <w:r w:rsidR="00642708">
        <w:rPr>
          <w:lang w:val="en-US" w:eastAsia="es-CO"/>
        </w:rPr>
        <w:t>350 square metres</w:t>
      </w:r>
      <w:r w:rsidR="00FD2DB2">
        <w:rPr>
          <w:lang w:val="en-US" w:eastAsia="es-CO"/>
        </w:rPr>
        <w:t xml:space="preserve"> in size</w:t>
      </w:r>
      <w:r w:rsidR="002F2BE7" w:rsidRPr="002F2BE7">
        <w:rPr>
          <w:lang w:val="en-US" w:eastAsia="es-CO"/>
        </w:rPr>
        <w:t xml:space="preserve"> </w:t>
      </w:r>
      <w:r w:rsidR="001B0148">
        <w:rPr>
          <w:lang w:val="en-US" w:eastAsia="es-CO"/>
        </w:rPr>
        <w:t>and is</w:t>
      </w:r>
      <w:r w:rsidR="002F2BE7" w:rsidRPr="002F2BE7">
        <w:rPr>
          <w:lang w:val="en-US" w:eastAsia="es-CO"/>
        </w:rPr>
        <w:t xml:space="preserve"> known to the l</w:t>
      </w:r>
      <w:r w:rsidR="002235E0">
        <w:rPr>
          <w:lang w:val="en-US" w:eastAsia="es-CO"/>
        </w:rPr>
        <w:t>ot owners as “t</w:t>
      </w:r>
      <w:r>
        <w:rPr>
          <w:lang w:val="en-US" w:eastAsia="es-CO"/>
        </w:rPr>
        <w:t>he Village Green”</w:t>
      </w:r>
      <w:r w:rsidR="002F2BE7" w:rsidRPr="002F2BE7">
        <w:rPr>
          <w:lang w:val="en-US" w:eastAsia="es-CO"/>
        </w:rPr>
        <w:t>.</w:t>
      </w:r>
    </w:p>
    <w:p w:rsidR="00CB25E7" w:rsidRDefault="002235E0" w:rsidP="002F2BE7">
      <w:pPr>
        <w:pStyle w:val="Para1"/>
        <w:rPr>
          <w:lang w:val="en-US" w:eastAsia="es-CO"/>
        </w:rPr>
      </w:pPr>
      <w:r>
        <w:rPr>
          <w:lang w:val="en-US" w:eastAsia="es-CO"/>
        </w:rPr>
        <w:t xml:space="preserve">In 2017 the </w:t>
      </w:r>
      <w:r w:rsidR="0008337A">
        <w:rPr>
          <w:lang w:val="en-US" w:eastAsia="es-CO"/>
        </w:rPr>
        <w:t>owners of</w:t>
      </w:r>
      <w:r w:rsidR="00FD2DB2">
        <w:rPr>
          <w:lang w:val="en-US" w:eastAsia="es-CO"/>
        </w:rPr>
        <w:t xml:space="preserve"> lot 6</w:t>
      </w:r>
      <w:r>
        <w:rPr>
          <w:lang w:val="en-US" w:eastAsia="es-CO"/>
        </w:rPr>
        <w:t xml:space="preserve"> </w:t>
      </w:r>
      <w:r w:rsidR="002C5E3E">
        <w:rPr>
          <w:lang w:val="en-US" w:eastAsia="es-CO"/>
        </w:rPr>
        <w:t>wished</w:t>
      </w:r>
      <w:r w:rsidRPr="002F2BE7">
        <w:rPr>
          <w:lang w:val="en-US" w:eastAsia="es-CO"/>
        </w:rPr>
        <w:t xml:space="preserve"> to</w:t>
      </w:r>
      <w:r>
        <w:rPr>
          <w:lang w:val="en-US" w:eastAsia="es-CO"/>
        </w:rPr>
        <w:t xml:space="preserve"> subdivide lot 6</w:t>
      </w:r>
      <w:r w:rsidRPr="002F2BE7">
        <w:rPr>
          <w:lang w:val="en-US" w:eastAsia="es-CO"/>
        </w:rPr>
        <w:t xml:space="preserve"> into two</w:t>
      </w:r>
      <w:r>
        <w:rPr>
          <w:lang w:val="en-US" w:eastAsia="es-CO"/>
        </w:rPr>
        <w:t xml:space="preserve">, </w:t>
      </w:r>
      <w:r w:rsidRPr="002F2BE7">
        <w:rPr>
          <w:lang w:val="en-US" w:eastAsia="es-CO"/>
        </w:rPr>
        <w:t>separate lots.</w:t>
      </w:r>
      <w:r>
        <w:rPr>
          <w:lang w:val="en-US" w:eastAsia="es-CO"/>
        </w:rPr>
        <w:t xml:space="preserve"> They proposed that </w:t>
      </w:r>
      <w:r w:rsidRPr="00CB25E7">
        <w:rPr>
          <w:lang w:val="en-US" w:eastAsia="es-CO"/>
        </w:rPr>
        <w:t xml:space="preserve">lot 6 </w:t>
      </w:r>
      <w:r>
        <w:rPr>
          <w:lang w:val="en-US" w:eastAsia="es-CO"/>
        </w:rPr>
        <w:t xml:space="preserve">be </w:t>
      </w:r>
      <w:r w:rsidRPr="00CB25E7">
        <w:rPr>
          <w:lang w:val="en-US" w:eastAsia="es-CO"/>
        </w:rPr>
        <w:t xml:space="preserve">reduced to the fenced off area containing its apartment and </w:t>
      </w:r>
      <w:r w:rsidR="0008337A">
        <w:rPr>
          <w:lang w:val="en-US" w:eastAsia="es-CO"/>
        </w:rPr>
        <w:t xml:space="preserve">that </w:t>
      </w:r>
      <w:r w:rsidRPr="00CB25E7">
        <w:rPr>
          <w:lang w:val="en-US" w:eastAsia="es-CO"/>
        </w:rPr>
        <w:t xml:space="preserve">the balance </w:t>
      </w:r>
      <w:r w:rsidR="003961D7">
        <w:rPr>
          <w:lang w:val="en-US" w:eastAsia="es-CO"/>
        </w:rPr>
        <w:t xml:space="preserve">of </w:t>
      </w:r>
      <w:r w:rsidRPr="00CB25E7">
        <w:rPr>
          <w:lang w:val="en-US" w:eastAsia="es-CO"/>
        </w:rPr>
        <w:t>the lot</w:t>
      </w:r>
      <w:r>
        <w:rPr>
          <w:lang w:val="en-US" w:eastAsia="es-CO"/>
        </w:rPr>
        <w:t>, the Village Green,</w:t>
      </w:r>
      <w:r w:rsidRPr="00CB25E7">
        <w:rPr>
          <w:lang w:val="en-US" w:eastAsia="es-CO"/>
        </w:rPr>
        <w:t xml:space="preserve"> </w:t>
      </w:r>
      <w:r w:rsidR="002C5E3E">
        <w:rPr>
          <w:lang w:val="en-US" w:eastAsia="es-CO"/>
        </w:rPr>
        <w:t>sh</w:t>
      </w:r>
      <w:r w:rsidRPr="00CB25E7">
        <w:rPr>
          <w:lang w:val="en-US" w:eastAsia="es-CO"/>
        </w:rPr>
        <w:t xml:space="preserve">ould become </w:t>
      </w:r>
      <w:r w:rsidR="0008337A">
        <w:rPr>
          <w:lang w:val="en-US" w:eastAsia="es-CO"/>
        </w:rPr>
        <w:t xml:space="preserve">a new lot, </w:t>
      </w:r>
      <w:r w:rsidRPr="00CB25E7">
        <w:rPr>
          <w:lang w:val="en-US" w:eastAsia="es-CO"/>
        </w:rPr>
        <w:t>lot 21.</w:t>
      </w:r>
      <w:r>
        <w:rPr>
          <w:lang w:val="en-US" w:eastAsia="es-CO"/>
        </w:rPr>
        <w:t xml:space="preserve"> In addition, the height limit on the new lot 21 would be raised from 2.5 met</w:t>
      </w:r>
      <w:r w:rsidR="00012ED0">
        <w:rPr>
          <w:lang w:val="en-US" w:eastAsia="es-CO"/>
        </w:rPr>
        <w:t>re</w:t>
      </w:r>
      <w:r>
        <w:rPr>
          <w:lang w:val="en-US" w:eastAsia="es-CO"/>
        </w:rPr>
        <w:t>s to 8 met</w:t>
      </w:r>
      <w:r w:rsidR="00012ED0">
        <w:rPr>
          <w:lang w:val="en-US" w:eastAsia="es-CO"/>
        </w:rPr>
        <w:t>re</w:t>
      </w:r>
      <w:r>
        <w:rPr>
          <w:lang w:val="en-US" w:eastAsia="es-CO"/>
        </w:rPr>
        <w:t>s</w:t>
      </w:r>
      <w:r w:rsidR="001741B0">
        <w:rPr>
          <w:lang w:val="en-US" w:eastAsia="es-CO"/>
        </w:rPr>
        <w:t xml:space="preserve"> and the lower limit from </w:t>
      </w:r>
      <w:r w:rsidR="00012ED0">
        <w:rPr>
          <w:lang w:val="en-US" w:eastAsia="es-CO"/>
        </w:rPr>
        <w:t>1 metre</w:t>
      </w:r>
      <w:r w:rsidR="001741B0">
        <w:rPr>
          <w:lang w:val="en-US" w:eastAsia="es-CO"/>
        </w:rPr>
        <w:t xml:space="preserve"> to </w:t>
      </w:r>
      <w:r w:rsidR="00012ED0">
        <w:rPr>
          <w:lang w:val="en-US" w:eastAsia="es-CO"/>
        </w:rPr>
        <w:t>2 metres</w:t>
      </w:r>
      <w:r>
        <w:rPr>
          <w:lang w:val="en-US" w:eastAsia="es-CO"/>
        </w:rPr>
        <w:t>.</w:t>
      </w:r>
      <w:r w:rsidR="001741B0">
        <w:rPr>
          <w:lang w:val="en-US" w:eastAsia="es-CO"/>
        </w:rPr>
        <w:t xml:space="preserve"> The table of liabilities and entitlements would also be altered.</w:t>
      </w:r>
    </w:p>
    <w:p w:rsidR="002F2BE7" w:rsidRPr="00CB25E7" w:rsidRDefault="002C5E3E" w:rsidP="00CB25E7">
      <w:pPr>
        <w:pStyle w:val="Para1"/>
        <w:rPr>
          <w:lang w:val="en-US" w:eastAsia="es-CO"/>
        </w:rPr>
      </w:pPr>
      <w:r>
        <w:rPr>
          <w:lang w:val="en-US" w:eastAsia="es-CO"/>
        </w:rPr>
        <w:t>For lot 6 to be subdivided, t</w:t>
      </w:r>
      <w:r w:rsidR="00CB25E7">
        <w:rPr>
          <w:lang w:val="en-US" w:eastAsia="es-CO"/>
        </w:rPr>
        <w:t xml:space="preserve">he necessary first step was to amend the </w:t>
      </w:r>
      <w:r w:rsidR="00C727E8">
        <w:rPr>
          <w:lang w:val="en-US" w:eastAsia="es-CO"/>
        </w:rPr>
        <w:t>plan of subdiv</w:t>
      </w:r>
      <w:r>
        <w:rPr>
          <w:lang w:val="en-US" w:eastAsia="es-CO"/>
        </w:rPr>
        <w:t>i</w:t>
      </w:r>
      <w:r w:rsidR="00C727E8">
        <w:rPr>
          <w:lang w:val="en-US" w:eastAsia="es-CO"/>
        </w:rPr>
        <w:t>sion</w:t>
      </w:r>
      <w:r w:rsidR="00CB25E7">
        <w:rPr>
          <w:lang w:val="en-US" w:eastAsia="es-CO"/>
        </w:rPr>
        <w:t xml:space="preserve">. </w:t>
      </w:r>
      <w:r w:rsidR="001741B0">
        <w:rPr>
          <w:lang w:val="en-US" w:eastAsia="es-CO"/>
        </w:rPr>
        <w:t>That could</w:t>
      </w:r>
      <w:r>
        <w:rPr>
          <w:lang w:val="en-US" w:eastAsia="es-CO"/>
        </w:rPr>
        <w:t xml:space="preserve"> be done if all the lot owners consent</w:t>
      </w:r>
      <w:r w:rsidR="001741B0">
        <w:rPr>
          <w:lang w:val="en-US" w:eastAsia="es-CO"/>
        </w:rPr>
        <w:t>ed</w:t>
      </w:r>
      <w:r>
        <w:rPr>
          <w:lang w:val="en-US" w:eastAsia="es-CO"/>
        </w:rPr>
        <w:t xml:space="preserve">. </w:t>
      </w:r>
      <w:r w:rsidR="00E246AD">
        <w:rPr>
          <w:lang w:val="en-US" w:eastAsia="es-CO"/>
        </w:rPr>
        <w:t xml:space="preserve">Amendment of plans of subdivision is controlled by the </w:t>
      </w:r>
      <w:r w:rsidR="00E246AD">
        <w:rPr>
          <w:i/>
          <w:lang w:val="en-US" w:eastAsia="es-CO"/>
        </w:rPr>
        <w:t>Subdivision Act 1988</w:t>
      </w:r>
      <w:r w:rsidR="0008337A">
        <w:rPr>
          <w:lang w:val="en-US" w:eastAsia="es-CO"/>
        </w:rPr>
        <w:t xml:space="preserve"> (the Act).</w:t>
      </w:r>
      <w:r w:rsidR="00E246AD" w:rsidRPr="00E246AD">
        <w:rPr>
          <w:lang w:val="en-US" w:eastAsia="es-CO"/>
        </w:rPr>
        <w:t xml:space="preserve"> T</w:t>
      </w:r>
      <w:r w:rsidR="0008337A">
        <w:rPr>
          <w:lang w:val="en-US" w:eastAsia="es-CO"/>
        </w:rPr>
        <w:t>he</w:t>
      </w:r>
      <w:r w:rsidR="00E246AD" w:rsidRPr="00E246AD">
        <w:rPr>
          <w:lang w:val="en-US" w:eastAsia="es-CO"/>
        </w:rPr>
        <w:t xml:space="preserve"> </w:t>
      </w:r>
      <w:r w:rsidR="00E246AD">
        <w:rPr>
          <w:lang w:val="en-US" w:eastAsia="es-CO"/>
        </w:rPr>
        <w:t>A</w:t>
      </w:r>
      <w:r w:rsidR="00E246AD" w:rsidRPr="00E246AD">
        <w:rPr>
          <w:lang w:val="en-US" w:eastAsia="es-CO"/>
        </w:rPr>
        <w:t xml:space="preserve">ct says that an owners </w:t>
      </w:r>
      <w:r w:rsidR="00E246AD">
        <w:rPr>
          <w:lang w:val="en-US" w:eastAsia="es-CO"/>
        </w:rPr>
        <w:t>c</w:t>
      </w:r>
      <w:r w:rsidR="00E246AD" w:rsidRPr="00E246AD">
        <w:rPr>
          <w:lang w:val="en-US" w:eastAsia="es-CO"/>
        </w:rPr>
        <w:t>orporation may amend its plan of subdivision, but only if there is a unanimous resolution of lot owners.</w:t>
      </w:r>
      <w:r w:rsidR="00E246AD">
        <w:rPr>
          <w:rStyle w:val="FootnoteReference"/>
          <w:lang w:val="en-US" w:eastAsia="es-CO"/>
        </w:rPr>
        <w:footnoteReference w:id="1"/>
      </w:r>
      <w:r w:rsidR="00E246AD">
        <w:rPr>
          <w:i/>
          <w:lang w:val="en-US" w:eastAsia="es-CO"/>
        </w:rPr>
        <w:t xml:space="preserve"> </w:t>
      </w:r>
      <w:r>
        <w:rPr>
          <w:lang w:val="en-US" w:eastAsia="es-CO"/>
        </w:rPr>
        <w:t>At</w:t>
      </w:r>
      <w:r w:rsidR="0008337A">
        <w:rPr>
          <w:lang w:val="en-US" w:eastAsia="es-CO"/>
        </w:rPr>
        <w:t xml:space="preserve"> the instigation of</w:t>
      </w:r>
      <w:r>
        <w:rPr>
          <w:lang w:val="en-US" w:eastAsia="es-CO"/>
        </w:rPr>
        <w:t xml:space="preserve"> the </w:t>
      </w:r>
      <w:r w:rsidR="0008337A">
        <w:rPr>
          <w:lang w:val="en-US" w:eastAsia="es-CO"/>
        </w:rPr>
        <w:t>owners of</w:t>
      </w:r>
      <w:r w:rsidR="00FD2DB2">
        <w:rPr>
          <w:lang w:val="en-US" w:eastAsia="es-CO"/>
        </w:rPr>
        <w:t xml:space="preserve"> lot 6</w:t>
      </w:r>
      <w:r w:rsidR="002F2BE7" w:rsidRPr="00CB25E7">
        <w:rPr>
          <w:lang w:val="en-US" w:eastAsia="es-CO"/>
        </w:rPr>
        <w:t>, the owners corporation for the subdivision (the owners corp</w:t>
      </w:r>
      <w:r>
        <w:rPr>
          <w:lang w:val="en-US" w:eastAsia="es-CO"/>
        </w:rPr>
        <w:t xml:space="preserve">oration) conducted a ballot on the </w:t>
      </w:r>
      <w:r w:rsidR="00FD2DB2">
        <w:rPr>
          <w:lang w:val="en-US" w:eastAsia="es-CO"/>
        </w:rPr>
        <w:t xml:space="preserve">proposal of the </w:t>
      </w:r>
      <w:r w:rsidR="0008337A">
        <w:rPr>
          <w:lang w:val="en-US" w:eastAsia="es-CO"/>
        </w:rPr>
        <w:t>owners of</w:t>
      </w:r>
      <w:r w:rsidR="00FD2DB2">
        <w:rPr>
          <w:lang w:val="en-US" w:eastAsia="es-CO"/>
        </w:rPr>
        <w:t xml:space="preserve"> lot 6</w:t>
      </w:r>
      <w:r w:rsidR="001741B0">
        <w:rPr>
          <w:lang w:val="en-US" w:eastAsia="es-CO"/>
        </w:rPr>
        <w:t>.</w:t>
      </w:r>
      <w:r w:rsidR="002F2BE7" w:rsidRPr="00CB25E7">
        <w:rPr>
          <w:lang w:val="en-US" w:eastAsia="es-CO"/>
        </w:rPr>
        <w:t xml:space="preserve"> </w:t>
      </w:r>
    </w:p>
    <w:p w:rsidR="002F2BE7" w:rsidRDefault="000349F3" w:rsidP="002F2BE7">
      <w:pPr>
        <w:pStyle w:val="Para1"/>
        <w:rPr>
          <w:lang w:val="en-US" w:eastAsia="es-CO"/>
        </w:rPr>
      </w:pPr>
      <w:r>
        <w:rPr>
          <w:noProof/>
          <w:lang w:val="en-US" w:eastAsia="es-CO"/>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8337A">
        <w:rPr>
          <w:lang w:val="en-US" w:eastAsia="es-CO"/>
        </w:rPr>
        <w:t>That ballot did not</w:t>
      </w:r>
      <w:r w:rsidR="00E72C9C">
        <w:rPr>
          <w:lang w:val="en-US" w:eastAsia="es-CO"/>
        </w:rPr>
        <w:t xml:space="preserve"> result in the necessary </w:t>
      </w:r>
      <w:r w:rsidR="003D281D">
        <w:rPr>
          <w:lang w:val="en-US" w:eastAsia="es-CO"/>
        </w:rPr>
        <w:t>unanimous approval</w:t>
      </w:r>
      <w:r w:rsidR="00730394">
        <w:rPr>
          <w:lang w:val="en-US" w:eastAsia="es-CO"/>
        </w:rPr>
        <w:t>.</w:t>
      </w:r>
      <w:r w:rsidR="00730394" w:rsidRPr="009C6FB1">
        <w:rPr>
          <w:lang w:val="en-US" w:eastAsia="es-CO"/>
        </w:rPr>
        <w:t xml:space="preserve"> Of the 10 lot owners, 5 voted to a</w:t>
      </w:r>
      <w:r w:rsidR="00730394">
        <w:rPr>
          <w:lang w:val="en-US" w:eastAsia="es-CO"/>
        </w:rPr>
        <w:t>mend the plan of subdivision</w:t>
      </w:r>
      <w:r w:rsidR="00730394" w:rsidRPr="009C6FB1">
        <w:rPr>
          <w:lang w:val="en-US" w:eastAsia="es-CO"/>
        </w:rPr>
        <w:t>, 3 voted against and 2 abstained.</w:t>
      </w:r>
      <w:r w:rsidR="003D281D">
        <w:rPr>
          <w:lang w:val="en-US" w:eastAsia="es-CO"/>
        </w:rPr>
        <w:t xml:space="preserve"> One of the abstainers lived interstate.</w:t>
      </w:r>
    </w:p>
    <w:p w:rsidR="002F2BE7" w:rsidRPr="00730394" w:rsidRDefault="00730394" w:rsidP="00730394">
      <w:pPr>
        <w:pStyle w:val="Para1"/>
        <w:rPr>
          <w:lang w:val="en-US" w:eastAsia="es-CO"/>
        </w:rPr>
      </w:pPr>
      <w:r>
        <w:rPr>
          <w:lang w:val="en-US" w:eastAsia="es-CO"/>
        </w:rPr>
        <w:t>The owners did, however, approve a special resolution</w:t>
      </w:r>
      <w:r w:rsidR="003D281D">
        <w:rPr>
          <w:lang w:val="en-US" w:eastAsia="es-CO"/>
        </w:rPr>
        <w:t xml:space="preserve">, also proposed by the </w:t>
      </w:r>
      <w:r w:rsidR="0008337A">
        <w:rPr>
          <w:lang w:val="en-US" w:eastAsia="es-CO"/>
        </w:rPr>
        <w:t>owners of</w:t>
      </w:r>
      <w:r w:rsidR="00FD2DB2">
        <w:rPr>
          <w:lang w:val="en-US" w:eastAsia="es-CO"/>
        </w:rPr>
        <w:t xml:space="preserve"> lot 6</w:t>
      </w:r>
      <w:r w:rsidR="003D281D">
        <w:rPr>
          <w:lang w:val="en-US" w:eastAsia="es-CO"/>
        </w:rPr>
        <w:t xml:space="preserve">, </w:t>
      </w:r>
      <w:r>
        <w:rPr>
          <w:lang w:val="en-US" w:eastAsia="es-CO"/>
        </w:rPr>
        <w:t xml:space="preserve">that the owners corporation </w:t>
      </w:r>
      <w:r w:rsidR="002F2BE7" w:rsidRPr="00730394">
        <w:rPr>
          <w:lang w:val="en-US" w:eastAsia="es-CO"/>
        </w:rPr>
        <w:t>apply to t</w:t>
      </w:r>
      <w:r w:rsidR="00BB0DBF" w:rsidRPr="00730394">
        <w:rPr>
          <w:lang w:val="en-US" w:eastAsia="es-CO"/>
        </w:rPr>
        <w:t xml:space="preserve">his Tribunal for orders under the </w:t>
      </w:r>
      <w:r w:rsidR="0008337A">
        <w:rPr>
          <w:lang w:val="en-US" w:eastAsia="es-CO"/>
        </w:rPr>
        <w:t>Act</w:t>
      </w:r>
      <w:r w:rsidR="00113345" w:rsidRPr="00730394">
        <w:rPr>
          <w:lang w:val="en-US" w:eastAsia="es-CO"/>
        </w:rPr>
        <w:t xml:space="preserve">, </w:t>
      </w:r>
      <w:r w:rsidR="00C16E65">
        <w:rPr>
          <w:lang w:val="en-US" w:eastAsia="es-CO"/>
        </w:rPr>
        <w:t>to require</w:t>
      </w:r>
      <w:r w:rsidR="00D14535" w:rsidRPr="00730394">
        <w:rPr>
          <w:lang w:val="en-US" w:eastAsia="es-CO"/>
        </w:rPr>
        <w:t xml:space="preserve"> the alteration </w:t>
      </w:r>
      <w:r w:rsidR="000D496C" w:rsidRPr="00730394">
        <w:rPr>
          <w:lang w:val="en-US" w:eastAsia="es-CO"/>
        </w:rPr>
        <w:t xml:space="preserve">of the </w:t>
      </w:r>
      <w:r w:rsidR="00C727E8" w:rsidRPr="00730394">
        <w:rPr>
          <w:lang w:val="en-US" w:eastAsia="es-CO"/>
        </w:rPr>
        <w:t>plan of subdiv</w:t>
      </w:r>
      <w:r w:rsidR="00E93A48">
        <w:rPr>
          <w:lang w:val="en-US" w:eastAsia="es-CO"/>
        </w:rPr>
        <w:t>i</w:t>
      </w:r>
      <w:r w:rsidR="00C727E8" w:rsidRPr="00730394">
        <w:rPr>
          <w:lang w:val="en-US" w:eastAsia="es-CO"/>
        </w:rPr>
        <w:t>sion</w:t>
      </w:r>
      <w:r w:rsidR="000D496C" w:rsidRPr="00730394">
        <w:rPr>
          <w:lang w:val="en-US" w:eastAsia="es-CO"/>
        </w:rPr>
        <w:t xml:space="preserve"> </w:t>
      </w:r>
      <w:r w:rsidR="00E72C9C">
        <w:rPr>
          <w:lang w:val="en-US" w:eastAsia="es-CO"/>
        </w:rPr>
        <w:t xml:space="preserve">which was </w:t>
      </w:r>
      <w:r w:rsidR="000D496C" w:rsidRPr="00730394">
        <w:rPr>
          <w:lang w:val="en-US" w:eastAsia="es-CO"/>
        </w:rPr>
        <w:t xml:space="preserve">proposed by the </w:t>
      </w:r>
      <w:r w:rsidR="0008337A">
        <w:rPr>
          <w:lang w:val="en-US" w:eastAsia="es-CO"/>
        </w:rPr>
        <w:t>owners of</w:t>
      </w:r>
      <w:r w:rsidR="00FD2DB2">
        <w:rPr>
          <w:lang w:val="en-US" w:eastAsia="es-CO"/>
        </w:rPr>
        <w:t xml:space="preserve"> lot 6</w:t>
      </w:r>
      <w:r w:rsidR="00BB0DBF" w:rsidRPr="00730394">
        <w:rPr>
          <w:lang w:val="en-US" w:eastAsia="es-CO"/>
        </w:rPr>
        <w:t>.</w:t>
      </w:r>
    </w:p>
    <w:p w:rsidR="002F2BE7" w:rsidRPr="002F2BE7" w:rsidRDefault="002F2BE7" w:rsidP="002F2BE7">
      <w:pPr>
        <w:pStyle w:val="Para1"/>
        <w:rPr>
          <w:lang w:val="en-US" w:eastAsia="es-CO"/>
        </w:rPr>
      </w:pPr>
      <w:r w:rsidRPr="002F2BE7">
        <w:rPr>
          <w:lang w:val="en-US" w:eastAsia="es-CO"/>
        </w:rPr>
        <w:t>I</w:t>
      </w:r>
      <w:r w:rsidR="00365726">
        <w:rPr>
          <w:lang w:val="en-US" w:eastAsia="es-CO"/>
        </w:rPr>
        <w:t xml:space="preserve"> note in passing</w:t>
      </w:r>
      <w:r w:rsidRPr="002F2BE7">
        <w:rPr>
          <w:lang w:val="en-US" w:eastAsia="es-CO"/>
        </w:rPr>
        <w:t xml:space="preserve"> that the resolution provided</w:t>
      </w:r>
      <w:r w:rsidR="00A50272">
        <w:rPr>
          <w:lang w:val="en-US" w:eastAsia="es-CO"/>
        </w:rPr>
        <w:t>, in terrorem, the following</w:t>
      </w:r>
      <w:r w:rsidR="008C021D">
        <w:rPr>
          <w:lang w:val="en-US" w:eastAsia="es-CO"/>
        </w:rPr>
        <w:t>:</w:t>
      </w:r>
    </w:p>
    <w:p w:rsidR="009C6FB1" w:rsidRPr="008C021D" w:rsidRDefault="009C6FB1" w:rsidP="00B83ED2">
      <w:pPr>
        <w:pStyle w:val="Quote1"/>
        <w:rPr>
          <w:lang w:val="en-US" w:eastAsia="es-CO"/>
        </w:rPr>
      </w:pPr>
      <w:r w:rsidRPr="008C021D">
        <w:rPr>
          <w:lang w:val="en-US" w:eastAsia="es-CO"/>
        </w:rPr>
        <w:t xml:space="preserve">In taking such proceedings, the Owners Corporation will seek orders from </w:t>
      </w:r>
      <w:r w:rsidR="00082D5C" w:rsidRPr="008C021D">
        <w:rPr>
          <w:lang w:val="en-US" w:eastAsia="es-CO"/>
        </w:rPr>
        <w:t>VCAT</w:t>
      </w:r>
      <w:r w:rsidRPr="008C021D">
        <w:rPr>
          <w:lang w:val="en-US" w:eastAsia="es-CO"/>
        </w:rPr>
        <w:t xml:space="preserve"> that </w:t>
      </w:r>
      <w:r w:rsidR="00082D5C" w:rsidRPr="008C021D">
        <w:rPr>
          <w:lang w:val="en-US" w:eastAsia="es-CO"/>
        </w:rPr>
        <w:t>any</w:t>
      </w:r>
      <w:r w:rsidRPr="008C021D">
        <w:rPr>
          <w:lang w:val="en-US" w:eastAsia="es-CO"/>
        </w:rPr>
        <w:t xml:space="preserve"> owner objecting, must pay indemnity costs, alternatively Solicitor and client costs, alternatively reasonable costs, associated with bringing such legal proceedings in the V</w:t>
      </w:r>
      <w:r w:rsidR="00082D5C" w:rsidRPr="008C021D">
        <w:rPr>
          <w:lang w:val="en-US" w:eastAsia="es-CO"/>
        </w:rPr>
        <w:t>CAT</w:t>
      </w:r>
      <w:r w:rsidRPr="008C021D">
        <w:rPr>
          <w:lang w:val="en-US" w:eastAsia="es-CO"/>
        </w:rPr>
        <w:t xml:space="preserve"> to obtain orders for alteration of the Plan o</w:t>
      </w:r>
      <w:r w:rsidR="00082D5C" w:rsidRPr="008C021D">
        <w:rPr>
          <w:lang w:val="en-US" w:eastAsia="es-CO"/>
        </w:rPr>
        <w:t>f Subdivision.</w:t>
      </w:r>
    </w:p>
    <w:p w:rsidR="009C6FB1" w:rsidRPr="009C6FB1" w:rsidRDefault="009C6FB1" w:rsidP="009C6FB1">
      <w:pPr>
        <w:pStyle w:val="Para1"/>
        <w:rPr>
          <w:lang w:val="en-US" w:eastAsia="es-CO"/>
        </w:rPr>
      </w:pPr>
      <w:r w:rsidRPr="009C6FB1">
        <w:rPr>
          <w:lang w:val="en-US" w:eastAsia="es-CO"/>
        </w:rPr>
        <w:t xml:space="preserve">On 1 August 2018 </w:t>
      </w:r>
      <w:r w:rsidR="00082D5C">
        <w:rPr>
          <w:lang w:val="en-US" w:eastAsia="es-CO"/>
        </w:rPr>
        <w:t>the owners corporation</w:t>
      </w:r>
      <w:r w:rsidRPr="009C6FB1">
        <w:rPr>
          <w:lang w:val="en-US" w:eastAsia="es-CO"/>
        </w:rPr>
        <w:t xml:space="preserve"> instituted the present proceeding,</w:t>
      </w:r>
      <w:r w:rsidR="00D6293E">
        <w:rPr>
          <w:lang w:val="en-US" w:eastAsia="es-CO"/>
        </w:rPr>
        <w:t xml:space="preserve"> seeking the Tribunal’s </w:t>
      </w:r>
      <w:r w:rsidR="00C16E65">
        <w:rPr>
          <w:lang w:val="en-US" w:eastAsia="es-CO"/>
        </w:rPr>
        <w:t>orders that the owners corporation</w:t>
      </w:r>
      <w:r w:rsidR="00D6293E">
        <w:rPr>
          <w:lang w:val="en-US" w:eastAsia="es-CO"/>
        </w:rPr>
        <w:t xml:space="preserve"> amend the plan of subdivision. I</w:t>
      </w:r>
      <w:r w:rsidRPr="009C6FB1">
        <w:rPr>
          <w:lang w:val="en-US" w:eastAsia="es-CO"/>
        </w:rPr>
        <w:t>nitia</w:t>
      </w:r>
      <w:r w:rsidR="00C727E8">
        <w:rPr>
          <w:lang w:val="en-US" w:eastAsia="es-CO"/>
        </w:rPr>
        <w:t xml:space="preserve">lly </w:t>
      </w:r>
      <w:r w:rsidR="00D6293E">
        <w:rPr>
          <w:lang w:val="en-US" w:eastAsia="es-CO"/>
        </w:rPr>
        <w:t xml:space="preserve">the owners corporation did not name </w:t>
      </w:r>
      <w:r w:rsidR="00C727E8">
        <w:rPr>
          <w:lang w:val="en-US" w:eastAsia="es-CO"/>
        </w:rPr>
        <w:t>any respondent</w:t>
      </w:r>
      <w:r w:rsidRPr="009C6FB1">
        <w:rPr>
          <w:lang w:val="en-US" w:eastAsia="es-CO"/>
        </w:rPr>
        <w:t xml:space="preserve">. </w:t>
      </w:r>
      <w:r w:rsidR="00C727E8">
        <w:rPr>
          <w:lang w:val="en-US" w:eastAsia="es-CO"/>
        </w:rPr>
        <w:t>T</w:t>
      </w:r>
      <w:r w:rsidRPr="009C6FB1">
        <w:rPr>
          <w:lang w:val="en-US" w:eastAsia="es-CO"/>
        </w:rPr>
        <w:t>he Tribunal of it</w:t>
      </w:r>
      <w:r w:rsidR="00082D5C">
        <w:rPr>
          <w:lang w:val="en-US" w:eastAsia="es-CO"/>
        </w:rPr>
        <w:t>s</w:t>
      </w:r>
      <w:r w:rsidRPr="009C6FB1">
        <w:rPr>
          <w:lang w:val="en-US" w:eastAsia="es-CO"/>
        </w:rPr>
        <w:t xml:space="preserve"> own </w:t>
      </w:r>
      <w:r w:rsidR="00082D5C">
        <w:rPr>
          <w:lang w:val="en-US" w:eastAsia="es-CO"/>
        </w:rPr>
        <w:t>motion</w:t>
      </w:r>
      <w:r w:rsidRPr="009C6FB1">
        <w:rPr>
          <w:lang w:val="en-US" w:eastAsia="es-CO"/>
        </w:rPr>
        <w:t xml:space="preserve"> added </w:t>
      </w:r>
      <w:r w:rsidR="00C16E65">
        <w:rPr>
          <w:lang w:val="en-US" w:eastAsia="es-CO"/>
        </w:rPr>
        <w:t xml:space="preserve">as respondents </w:t>
      </w:r>
      <w:r w:rsidRPr="009C6FB1">
        <w:rPr>
          <w:lang w:val="en-US" w:eastAsia="es-CO"/>
        </w:rPr>
        <w:t>the three lot owners who had voted against the amendmen</w:t>
      </w:r>
      <w:r w:rsidR="00082D5C">
        <w:rPr>
          <w:lang w:val="en-US" w:eastAsia="es-CO"/>
        </w:rPr>
        <w:t>t of the plan of subdivision.</w:t>
      </w:r>
    </w:p>
    <w:p w:rsidR="009C6FB1" w:rsidRPr="009C6FB1" w:rsidRDefault="00C727E8" w:rsidP="009C6FB1">
      <w:pPr>
        <w:pStyle w:val="Para1"/>
        <w:rPr>
          <w:lang w:val="en-US" w:eastAsia="es-CO"/>
        </w:rPr>
      </w:pPr>
      <w:r>
        <w:rPr>
          <w:lang w:val="en-US" w:eastAsia="es-CO"/>
        </w:rPr>
        <w:t xml:space="preserve">Subsequently and before the hearing of this proceeding, the three dissenting lot owners withdrew their opposition to </w:t>
      </w:r>
      <w:r w:rsidR="009C6FB1" w:rsidRPr="009C6FB1">
        <w:rPr>
          <w:lang w:val="en-US" w:eastAsia="es-CO"/>
        </w:rPr>
        <w:t xml:space="preserve">the </w:t>
      </w:r>
      <w:r w:rsidR="0008337A">
        <w:rPr>
          <w:lang w:val="en-US" w:eastAsia="es-CO"/>
        </w:rPr>
        <w:t>amendment proposed by the owners of</w:t>
      </w:r>
      <w:r w:rsidR="00FD2DB2">
        <w:rPr>
          <w:lang w:val="en-US" w:eastAsia="es-CO"/>
        </w:rPr>
        <w:t xml:space="preserve"> lot 6</w:t>
      </w:r>
      <w:r w:rsidR="0022798C">
        <w:rPr>
          <w:lang w:val="en-US" w:eastAsia="es-CO"/>
        </w:rPr>
        <w:t>.</w:t>
      </w:r>
      <w:r w:rsidR="00FD2DB2">
        <w:rPr>
          <w:lang w:val="en-US" w:eastAsia="es-CO"/>
        </w:rPr>
        <w:t xml:space="preserve"> But because two of the lot owners had abstained in the ballot, the </w:t>
      </w:r>
      <w:r w:rsidR="0008337A">
        <w:rPr>
          <w:lang w:val="en-US" w:eastAsia="es-CO"/>
        </w:rPr>
        <w:t>owners of</w:t>
      </w:r>
      <w:r w:rsidR="00FD2DB2">
        <w:rPr>
          <w:lang w:val="en-US" w:eastAsia="es-CO"/>
        </w:rPr>
        <w:t xml:space="preserve"> Lot 6</w:t>
      </w:r>
      <w:r w:rsidR="00E72C9C">
        <w:rPr>
          <w:lang w:val="en-US" w:eastAsia="es-CO"/>
        </w:rPr>
        <w:t xml:space="preserve"> still did not have </w:t>
      </w:r>
      <w:r w:rsidR="00FD2DB2">
        <w:rPr>
          <w:lang w:val="en-US" w:eastAsia="es-CO"/>
        </w:rPr>
        <w:t>unanimous approval</w:t>
      </w:r>
      <w:r w:rsidR="00E72C9C">
        <w:rPr>
          <w:lang w:val="en-US" w:eastAsia="es-CO"/>
        </w:rPr>
        <w:t>.</w:t>
      </w:r>
    </w:p>
    <w:p w:rsidR="009C6FB1" w:rsidRPr="009C6FB1" w:rsidRDefault="009C6FB1" w:rsidP="009C6FB1">
      <w:pPr>
        <w:pStyle w:val="Para1"/>
        <w:rPr>
          <w:lang w:val="en-US" w:eastAsia="es-CO"/>
        </w:rPr>
      </w:pPr>
      <w:r w:rsidRPr="009C6FB1">
        <w:rPr>
          <w:lang w:val="en-US" w:eastAsia="es-CO"/>
        </w:rPr>
        <w:t>When the pr</w:t>
      </w:r>
      <w:r w:rsidR="00B83ED2">
        <w:rPr>
          <w:lang w:val="en-US" w:eastAsia="es-CO"/>
        </w:rPr>
        <w:t>o</w:t>
      </w:r>
      <w:r w:rsidRPr="009C6FB1">
        <w:rPr>
          <w:lang w:val="en-US" w:eastAsia="es-CO"/>
        </w:rPr>
        <w:t>c</w:t>
      </w:r>
      <w:r w:rsidR="00B83ED2">
        <w:rPr>
          <w:lang w:val="en-US" w:eastAsia="es-CO"/>
        </w:rPr>
        <w:t>e</w:t>
      </w:r>
      <w:r w:rsidRPr="009C6FB1">
        <w:rPr>
          <w:lang w:val="en-US" w:eastAsia="es-CO"/>
        </w:rPr>
        <w:t>eding came on for hearing, only the applicant owners corporation appeared.</w:t>
      </w:r>
    </w:p>
    <w:p w:rsidR="00D6293E" w:rsidRPr="00D6293E" w:rsidRDefault="00D6293E" w:rsidP="00B83ED2">
      <w:pPr>
        <w:pStyle w:val="Heading3"/>
      </w:pPr>
      <w:r w:rsidRPr="00D6293E">
        <w:t xml:space="preserve">The </w:t>
      </w:r>
      <w:r>
        <w:t>T</w:t>
      </w:r>
      <w:r w:rsidRPr="00D6293E">
        <w:t>ribunal’s power to approve alteration of plans</w:t>
      </w:r>
    </w:p>
    <w:p w:rsidR="003D281D" w:rsidRPr="00B8634B" w:rsidRDefault="00D6293E" w:rsidP="00B8634B">
      <w:pPr>
        <w:pStyle w:val="Para1"/>
        <w:rPr>
          <w:lang w:val="en-US" w:eastAsia="es-CO"/>
        </w:rPr>
      </w:pPr>
      <w:r w:rsidRPr="00B8634B">
        <w:rPr>
          <w:lang w:val="en-US" w:eastAsia="es-CO"/>
        </w:rPr>
        <w:t xml:space="preserve">The </w:t>
      </w:r>
      <w:r w:rsidR="00FD2DB2">
        <w:rPr>
          <w:lang w:val="en-US" w:eastAsia="es-CO"/>
        </w:rPr>
        <w:t xml:space="preserve">Act </w:t>
      </w:r>
      <w:r w:rsidRPr="00B8634B">
        <w:rPr>
          <w:lang w:val="en-US" w:eastAsia="es-CO"/>
        </w:rPr>
        <w:t xml:space="preserve">contains a regime which allows this Tribunal to </w:t>
      </w:r>
      <w:r w:rsidR="00E246AD">
        <w:rPr>
          <w:lang w:val="en-US" w:eastAsia="es-CO"/>
        </w:rPr>
        <w:t>order an owners corporation to</w:t>
      </w:r>
      <w:r w:rsidRPr="00B8634B">
        <w:rPr>
          <w:lang w:val="en-US" w:eastAsia="es-CO"/>
        </w:rPr>
        <w:t xml:space="preserve"> amend</w:t>
      </w:r>
      <w:r w:rsidR="00E246AD">
        <w:rPr>
          <w:lang w:val="en-US" w:eastAsia="es-CO"/>
        </w:rPr>
        <w:t xml:space="preserve"> its</w:t>
      </w:r>
      <w:r w:rsidRPr="00B8634B">
        <w:rPr>
          <w:lang w:val="en-US" w:eastAsia="es-CO"/>
        </w:rPr>
        <w:t xml:space="preserve"> plan of subdivision, in certain circumstances. That power is set out in section 34D</w:t>
      </w:r>
      <w:r w:rsidR="00FD2DB2">
        <w:rPr>
          <w:lang w:val="en-US" w:eastAsia="es-CO"/>
        </w:rPr>
        <w:t xml:space="preserve"> of the Act</w:t>
      </w:r>
      <w:r w:rsidRPr="00B8634B">
        <w:rPr>
          <w:lang w:val="en-US" w:eastAsia="es-CO"/>
        </w:rPr>
        <w:t>.</w:t>
      </w:r>
    </w:p>
    <w:p w:rsidR="00D6293E" w:rsidRPr="00B83ED2" w:rsidRDefault="00D6293E" w:rsidP="00B83ED2">
      <w:pPr>
        <w:pStyle w:val="DraftHeading1"/>
        <w:tabs>
          <w:tab w:val="right" w:pos="680"/>
          <w:tab w:val="left" w:pos="1134"/>
          <w:tab w:val="left" w:pos="1701"/>
          <w:tab w:val="left" w:pos="2268"/>
          <w:tab w:val="left" w:pos="2835"/>
          <w:tab w:val="left" w:pos="3402"/>
          <w:tab w:val="left" w:pos="3969"/>
        </w:tabs>
        <w:ind w:left="850" w:firstLine="284"/>
        <w:rPr>
          <w:sz w:val="22"/>
          <w:szCs w:val="22"/>
        </w:rPr>
      </w:pPr>
      <w:bookmarkStart w:id="21" w:name="_Toc518479398"/>
      <w:r w:rsidRPr="00B83ED2">
        <w:rPr>
          <w:sz w:val="22"/>
          <w:szCs w:val="22"/>
        </w:rPr>
        <w:t>34D</w:t>
      </w:r>
      <w:r w:rsidRPr="00B83ED2">
        <w:rPr>
          <w:sz w:val="22"/>
          <w:szCs w:val="22"/>
        </w:rPr>
        <w:tab/>
        <w:t>Applications relating to plans</w:t>
      </w:r>
      <w:bookmarkEnd w:id="21"/>
    </w:p>
    <w:p w:rsidR="00D6293E" w:rsidRPr="00B83ED2" w:rsidRDefault="00D6293E" w:rsidP="00B83ED2">
      <w:pPr>
        <w:pStyle w:val="DraftHeading2"/>
        <w:tabs>
          <w:tab w:val="left" w:pos="1134"/>
          <w:tab w:val="right" w:pos="1247"/>
          <w:tab w:val="left" w:pos="1701"/>
          <w:tab w:val="left" w:pos="2268"/>
          <w:tab w:val="left" w:pos="2835"/>
          <w:tab w:val="left" w:pos="3402"/>
          <w:tab w:val="left" w:pos="3969"/>
        </w:tabs>
        <w:ind w:left="2268" w:hanging="623"/>
        <w:rPr>
          <w:sz w:val="22"/>
          <w:szCs w:val="22"/>
        </w:rPr>
      </w:pPr>
      <w:r w:rsidRPr="00B83ED2">
        <w:rPr>
          <w:sz w:val="22"/>
          <w:szCs w:val="22"/>
        </w:rPr>
        <w:t>(1)</w:t>
      </w:r>
      <w:r w:rsidRPr="00B83ED2">
        <w:rPr>
          <w:sz w:val="22"/>
          <w:szCs w:val="22"/>
        </w:rPr>
        <w:tab/>
        <w:t>A member of the owners corporation, an owners corporation, an administrator of an owners corporation or a person with an interest in the land affected by the owners corporation may apply to the Victorian Civil and Administrative Tribunal for—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(a)</w:t>
      </w:r>
      <w:r w:rsidRPr="00B83ED2">
        <w:rPr>
          <w:sz w:val="22"/>
          <w:szCs w:val="22"/>
        </w:rPr>
        <w:tab/>
        <w:t>an order requiring the owners corporation to do any of the things set out in section 32 or 33; 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(b)</w:t>
      </w:r>
      <w:r w:rsidRPr="00B83ED2">
        <w:rPr>
          <w:sz w:val="22"/>
          <w:szCs w:val="22"/>
        </w:rPr>
        <w:tab/>
        <w:t>an order consenting on behalf of a member or group of members of an owners corporation to the doing by the owners corporation of any of the things set out in section 32 or 33; 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(c)</w:t>
      </w:r>
      <w:r w:rsidRPr="00B83ED2">
        <w:rPr>
          <w:sz w:val="22"/>
          <w:szCs w:val="22"/>
        </w:rPr>
        <w:tab/>
        <w:t>an order consenting on behalf of a person whose consent to the registration of a plan is required under section 22; 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(d)</w:t>
      </w:r>
      <w:r w:rsidRPr="00B83ED2">
        <w:rPr>
          <w:sz w:val="22"/>
          <w:szCs w:val="22"/>
        </w:rPr>
        <w:tab/>
        <w:t>an order restraining the owners corporation from doing any action under this Act or the regulations.</w:t>
      </w:r>
    </w:p>
    <w:p w:rsidR="00D6293E" w:rsidRPr="00B83ED2" w:rsidRDefault="000349F3" w:rsidP="00B83ED2">
      <w:pPr>
        <w:pStyle w:val="DraftHeading2"/>
        <w:tabs>
          <w:tab w:val="left" w:pos="1134"/>
          <w:tab w:val="right" w:pos="1247"/>
          <w:tab w:val="left" w:pos="1701"/>
          <w:tab w:val="left" w:pos="2268"/>
          <w:tab w:val="left" w:pos="2835"/>
          <w:tab w:val="left" w:pos="3402"/>
          <w:tab w:val="left" w:pos="3969"/>
        </w:tabs>
        <w:ind w:left="2268" w:hanging="623"/>
        <w:rPr>
          <w:sz w:val="22"/>
          <w:szCs w:val="22"/>
        </w:rPr>
      </w:pPr>
      <w:r>
        <w:rPr>
          <w:noProof/>
          <w:sz w:val="22"/>
          <w:szCs w:val="22"/>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6293E" w:rsidRPr="00B83ED2">
        <w:rPr>
          <w:sz w:val="22"/>
          <w:szCs w:val="22"/>
        </w:rPr>
        <w:t>(2)</w:t>
      </w:r>
      <w:r w:rsidR="00D6293E" w:rsidRPr="00B83ED2">
        <w:rPr>
          <w:sz w:val="22"/>
          <w:szCs w:val="22"/>
        </w:rPr>
        <w:tab/>
        <w:t>The Victorian Civil and Administrative Tribunal may make an order on an application under subsection (1)(a) even though there is no unanimous resolution of the owners corporation authorising the action.</w:t>
      </w:r>
    </w:p>
    <w:p w:rsidR="00D6293E" w:rsidRPr="00B83ED2" w:rsidRDefault="00D6293E" w:rsidP="00B83ED2">
      <w:pPr>
        <w:pStyle w:val="DraftHeading2"/>
        <w:tabs>
          <w:tab w:val="left" w:pos="1134"/>
          <w:tab w:val="right" w:pos="1247"/>
          <w:tab w:val="left" w:pos="1701"/>
          <w:tab w:val="left" w:pos="2268"/>
          <w:tab w:val="left" w:pos="2835"/>
          <w:tab w:val="left" w:pos="3402"/>
          <w:tab w:val="left" w:pos="3969"/>
        </w:tabs>
        <w:ind w:left="2268" w:hanging="623"/>
        <w:rPr>
          <w:sz w:val="22"/>
          <w:szCs w:val="22"/>
        </w:rPr>
      </w:pPr>
      <w:r w:rsidRPr="00B83ED2">
        <w:rPr>
          <w:sz w:val="22"/>
          <w:szCs w:val="22"/>
        </w:rPr>
        <w:t>(3)</w:t>
      </w:r>
      <w:r w:rsidRPr="00B83ED2">
        <w:rPr>
          <w:sz w:val="22"/>
          <w:szCs w:val="22"/>
        </w:rPr>
        <w:tab/>
        <w:t>The Victorian Civil and Administrative Tribunal must not make an order on an application under subsection (1)(b) unless it is satisfied that—</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567"/>
        <w:rPr>
          <w:sz w:val="22"/>
          <w:szCs w:val="22"/>
        </w:rPr>
      </w:pPr>
      <w:r w:rsidRPr="00B83ED2">
        <w:rPr>
          <w:sz w:val="22"/>
          <w:szCs w:val="22"/>
        </w:rPr>
        <w:t>(a)</w:t>
      </w:r>
      <w:r w:rsidRPr="00B83ED2">
        <w:rPr>
          <w:sz w:val="22"/>
          <w:szCs w:val="22"/>
        </w:rPr>
        <w:tab/>
        <w:t>the member or group of members cannot vote because the member is or the members are dead, out of Victoria, or cannot be found; 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(b)</w:t>
      </w:r>
      <w:r w:rsidRPr="00B83ED2">
        <w:rPr>
          <w:sz w:val="22"/>
          <w:szCs w:val="22"/>
        </w:rPr>
        <w:tab/>
        <w:t>for any other reason it is impracticable to obtain the vote of the member or members; 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(c)</w:t>
      </w:r>
      <w:r w:rsidRPr="00B83ED2">
        <w:rPr>
          <w:sz w:val="22"/>
          <w:szCs w:val="22"/>
        </w:rPr>
        <w:tab/>
        <w:t>the member has or members have refused consent to the proposed action and—</w:t>
      </w:r>
    </w:p>
    <w:p w:rsidR="00D6293E" w:rsidRPr="00B83ED2" w:rsidRDefault="00D6293E" w:rsidP="00B83ED2">
      <w:pPr>
        <w:pStyle w:val="DraftHeading4"/>
        <w:tabs>
          <w:tab w:val="left" w:pos="1134"/>
          <w:tab w:val="left" w:pos="1701"/>
          <w:tab w:val="left" w:pos="2268"/>
          <w:tab w:val="left" w:pos="2835"/>
          <w:tab w:val="left" w:pos="3402"/>
          <w:tab w:val="left" w:pos="3969"/>
        </w:tabs>
        <w:ind w:left="3402" w:hanging="737"/>
        <w:rPr>
          <w:sz w:val="22"/>
          <w:szCs w:val="22"/>
        </w:rPr>
      </w:pPr>
      <w:r w:rsidRPr="00B83ED2">
        <w:rPr>
          <w:sz w:val="22"/>
          <w:szCs w:val="22"/>
        </w:rPr>
        <w:tab/>
        <w:t>(i)</w:t>
      </w:r>
      <w:r w:rsidRPr="00B83ED2">
        <w:rPr>
          <w:sz w:val="22"/>
          <w:szCs w:val="22"/>
        </w:rPr>
        <w:tab/>
        <w:t>more than half of the membership of the owners corporation having total lot entitlements of more than half of the total lot entitlement of the members of the owners corporation consent to the proposed action; and</w:t>
      </w:r>
    </w:p>
    <w:p w:rsidR="00D6293E" w:rsidRPr="00B83ED2" w:rsidRDefault="00D6293E" w:rsidP="00B83ED2">
      <w:pPr>
        <w:pStyle w:val="DraftHeading4"/>
        <w:tabs>
          <w:tab w:val="left" w:pos="1134"/>
          <w:tab w:val="left" w:pos="1701"/>
          <w:tab w:val="left" w:pos="2268"/>
          <w:tab w:val="left" w:pos="2835"/>
          <w:tab w:val="left" w:pos="3402"/>
          <w:tab w:val="left" w:pos="3969"/>
        </w:tabs>
        <w:ind w:left="3402" w:hanging="737"/>
        <w:rPr>
          <w:sz w:val="22"/>
          <w:szCs w:val="22"/>
        </w:rPr>
      </w:pPr>
      <w:r w:rsidRPr="00B83ED2">
        <w:rPr>
          <w:sz w:val="22"/>
          <w:szCs w:val="22"/>
        </w:rPr>
        <w:tab/>
        <w:t>(ii)</w:t>
      </w:r>
      <w:r w:rsidRPr="00B83ED2">
        <w:rPr>
          <w:sz w:val="22"/>
          <w:szCs w:val="22"/>
        </w:rPr>
        <w:tab/>
        <w:t>the purpose for which the action is to be taken is likely to bring economic or social benefits to the subdivision as a whole greater than any economic or social disadvantages to the members who did not consent to the action.</w:t>
      </w:r>
    </w:p>
    <w:p w:rsidR="00D6293E" w:rsidRPr="00B83ED2" w:rsidRDefault="00D6293E" w:rsidP="00B83ED2">
      <w:pPr>
        <w:pStyle w:val="DraftHeading2"/>
        <w:tabs>
          <w:tab w:val="left" w:pos="1134"/>
          <w:tab w:val="right" w:pos="1247"/>
          <w:tab w:val="left" w:pos="1701"/>
          <w:tab w:val="left" w:pos="2268"/>
          <w:tab w:val="left" w:pos="2835"/>
          <w:tab w:val="left" w:pos="3402"/>
          <w:tab w:val="left" w:pos="3969"/>
        </w:tabs>
        <w:ind w:left="2268" w:hanging="623"/>
        <w:rPr>
          <w:sz w:val="22"/>
          <w:szCs w:val="22"/>
        </w:rPr>
      </w:pPr>
      <w:r w:rsidRPr="00B83ED2">
        <w:rPr>
          <w:sz w:val="22"/>
          <w:szCs w:val="22"/>
        </w:rPr>
        <w:t>(4)</w:t>
      </w:r>
      <w:r w:rsidRPr="00B83ED2">
        <w:rPr>
          <w:sz w:val="22"/>
          <w:szCs w:val="22"/>
        </w:rPr>
        <w:tab/>
        <w:t>For the purposes of sections 32 and 33, an order made on an application under subsection (1)(b) is to be treated as a vote by the member in favour of the proposed action of the plan.</w:t>
      </w:r>
    </w:p>
    <w:p w:rsidR="00D6293E" w:rsidRPr="00B83ED2" w:rsidRDefault="00D6293E" w:rsidP="00B83ED2">
      <w:pPr>
        <w:pStyle w:val="DraftHeading2"/>
        <w:tabs>
          <w:tab w:val="left" w:pos="1134"/>
          <w:tab w:val="right" w:pos="1247"/>
          <w:tab w:val="left" w:pos="1701"/>
          <w:tab w:val="left" w:pos="2268"/>
          <w:tab w:val="left" w:pos="2835"/>
          <w:tab w:val="left" w:pos="3402"/>
          <w:tab w:val="left" w:pos="3969"/>
        </w:tabs>
        <w:ind w:left="2268" w:hanging="623"/>
        <w:rPr>
          <w:sz w:val="22"/>
          <w:szCs w:val="22"/>
        </w:rPr>
      </w:pPr>
      <w:r w:rsidRPr="00B83ED2">
        <w:rPr>
          <w:sz w:val="22"/>
          <w:szCs w:val="22"/>
        </w:rPr>
        <w:t>(5)</w:t>
      </w:r>
      <w:r w:rsidRPr="00B83ED2">
        <w:rPr>
          <w:sz w:val="22"/>
          <w:szCs w:val="22"/>
        </w:rPr>
        <w:tab/>
        <w:t>The Victorian Civil and Administrative Tribunal must not make an order on an application under subsection (1)(c) unless it is satisfied that—</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(a)</w:t>
      </w:r>
      <w:r w:rsidRPr="00B83ED2">
        <w:rPr>
          <w:sz w:val="22"/>
          <w:szCs w:val="22"/>
        </w:rPr>
        <w:tab/>
        <w:t>the person whose consent is required is dead or out of Victoria or cannot be found; 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1871" w:firstLine="284"/>
        <w:rPr>
          <w:sz w:val="22"/>
          <w:szCs w:val="22"/>
        </w:rPr>
      </w:pPr>
      <w:r w:rsidRPr="00B83ED2">
        <w:rPr>
          <w:sz w:val="22"/>
          <w:szCs w:val="22"/>
        </w:rPr>
        <w:tab/>
        <w:t>(b)</w:t>
      </w:r>
      <w:r w:rsidRPr="00B83ED2">
        <w:rPr>
          <w:sz w:val="22"/>
          <w:szCs w:val="22"/>
        </w:rPr>
        <w:tab/>
        <w:t>it is otherwise impracticable to obtain the person's consent; or</w:t>
      </w:r>
    </w:p>
    <w:p w:rsidR="00D6293E" w:rsidRPr="00B83ED2" w:rsidRDefault="00D6293E" w:rsidP="00B83ED2">
      <w:pPr>
        <w:pStyle w:val="DraftHeading3"/>
        <w:tabs>
          <w:tab w:val="left" w:pos="1134"/>
          <w:tab w:val="left" w:pos="1701"/>
          <w:tab w:val="right" w:pos="1757"/>
          <w:tab w:val="left" w:pos="2268"/>
          <w:tab w:val="left" w:pos="2835"/>
          <w:tab w:val="left" w:pos="3402"/>
          <w:tab w:val="left" w:pos="3969"/>
        </w:tabs>
        <w:ind w:left="2835" w:hanging="680"/>
        <w:rPr>
          <w:sz w:val="22"/>
          <w:szCs w:val="22"/>
        </w:rPr>
      </w:pPr>
      <w:r w:rsidRPr="00B83ED2">
        <w:rPr>
          <w:sz w:val="22"/>
          <w:szCs w:val="22"/>
        </w:rPr>
        <w:tab/>
        <w:t>(c)</w:t>
      </w:r>
      <w:r w:rsidRPr="00B83ED2">
        <w:rPr>
          <w:sz w:val="22"/>
          <w:szCs w:val="22"/>
        </w:rPr>
        <w:tab/>
        <w:t>it is impracticable to serve the person with the notice under section 22(1B).</w:t>
      </w:r>
    </w:p>
    <w:p w:rsidR="00D6293E" w:rsidRDefault="00D6293E" w:rsidP="00B83ED2">
      <w:pPr>
        <w:pStyle w:val="DraftHeading2"/>
        <w:tabs>
          <w:tab w:val="left" w:pos="1134"/>
          <w:tab w:val="right" w:pos="1247"/>
          <w:tab w:val="left" w:pos="1701"/>
          <w:tab w:val="left" w:pos="2268"/>
          <w:tab w:val="left" w:pos="2835"/>
          <w:tab w:val="left" w:pos="3402"/>
          <w:tab w:val="left" w:pos="3969"/>
        </w:tabs>
        <w:ind w:left="2268" w:hanging="623"/>
        <w:rPr>
          <w:sz w:val="22"/>
          <w:szCs w:val="22"/>
        </w:rPr>
      </w:pPr>
      <w:r w:rsidRPr="00B83ED2">
        <w:rPr>
          <w:sz w:val="22"/>
          <w:szCs w:val="22"/>
        </w:rPr>
        <w:t>(6)</w:t>
      </w:r>
      <w:r w:rsidRPr="00B83ED2">
        <w:rPr>
          <w:sz w:val="22"/>
          <w:szCs w:val="22"/>
        </w:rPr>
        <w:tab/>
        <w:t>Subject to this section, the Victorian Civil and Administrative Tribunal may make any order it thinks fit on an application under this section.</w:t>
      </w:r>
    </w:p>
    <w:p w:rsidR="00B8634B" w:rsidRPr="00B8634B" w:rsidRDefault="00B8634B" w:rsidP="00B83ED2">
      <w:pPr>
        <w:pStyle w:val="Heading3"/>
      </w:pPr>
      <w:r w:rsidRPr="00B8634B">
        <w:t>The owners corporation’s application</w:t>
      </w:r>
    </w:p>
    <w:p w:rsidR="00B8634B" w:rsidRDefault="0008337A" w:rsidP="00B8634B">
      <w:pPr>
        <w:pStyle w:val="Para1"/>
      </w:pPr>
      <w:r>
        <w:t xml:space="preserve">By its Points of Claim, the </w:t>
      </w:r>
      <w:r w:rsidR="00B8634B">
        <w:t xml:space="preserve">owners corporation sought </w:t>
      </w:r>
      <w:r>
        <w:t xml:space="preserve">the </w:t>
      </w:r>
      <w:r w:rsidR="00B8634B">
        <w:t>following orders:</w:t>
      </w:r>
    </w:p>
    <w:p w:rsidR="00D6293E" w:rsidRDefault="00E47FC6" w:rsidP="00B8634B">
      <w:pPr>
        <w:pStyle w:val="Para1"/>
        <w:numPr>
          <w:ilvl w:val="1"/>
          <w:numId w:val="11"/>
        </w:numPr>
      </w:pPr>
      <w:r>
        <w:t>T</w:t>
      </w:r>
      <w:r w:rsidR="00B8634B">
        <w:t xml:space="preserve">hat the owners corporation amend the plan of subdivision </w:t>
      </w:r>
      <w:bookmarkStart w:id="22" w:name="_Hlk8659002"/>
      <w:r w:rsidR="00B8634B">
        <w:t>(section 34(1)(a)</w:t>
      </w:r>
      <w:r>
        <w:t>).</w:t>
      </w:r>
      <w:bookmarkEnd w:id="22"/>
    </w:p>
    <w:p w:rsidR="00E47FC6" w:rsidRDefault="00E47FC6" w:rsidP="00B8634B">
      <w:pPr>
        <w:pStyle w:val="Para1"/>
        <w:numPr>
          <w:ilvl w:val="1"/>
          <w:numId w:val="11"/>
        </w:numPr>
      </w:pPr>
      <w:r>
        <w:t>Consenting on behalf of the members of the owners corporation to the proposed amendment of the plan of subdivision (section 34(1)(b)).</w:t>
      </w:r>
    </w:p>
    <w:p w:rsidR="00E47FC6" w:rsidRDefault="00E47FC6" w:rsidP="00B8634B">
      <w:pPr>
        <w:pStyle w:val="Para1"/>
        <w:numPr>
          <w:ilvl w:val="1"/>
          <w:numId w:val="11"/>
        </w:numPr>
      </w:pPr>
      <w:r>
        <w:t>Consenting on behalf of all caveat</w:t>
      </w:r>
      <w:r w:rsidR="006429E6">
        <w:t>o</w:t>
      </w:r>
      <w:r>
        <w:t>rs, mortgagees and lessees to registration of the amended plan of subdivision (section 34(1)(c)).</w:t>
      </w:r>
    </w:p>
    <w:p w:rsidR="00D6293E" w:rsidRDefault="000349F3" w:rsidP="00372497">
      <w:pPr>
        <w:pStyle w:val="Para1"/>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72497">
        <w:t>Either of the first two orders sought by the owners corporation would achieve the result sought by it.</w:t>
      </w:r>
    </w:p>
    <w:p w:rsidR="00D6293E" w:rsidRDefault="00372497" w:rsidP="00372497">
      <w:pPr>
        <w:pStyle w:val="Para1"/>
      </w:pPr>
      <w:r>
        <w:t xml:space="preserve">Of the two subsections, 34(1)(a) and (b), the latter answers more fully to the problem faced by the owners corporation, namely the failure of two of its members to agree to the amendment sought by the </w:t>
      </w:r>
      <w:r w:rsidR="0008337A">
        <w:t>owners of</w:t>
      </w:r>
      <w:r w:rsidR="00FD2DB2">
        <w:t xml:space="preserve"> lot 6</w:t>
      </w:r>
      <w:r>
        <w:t>.</w:t>
      </w:r>
    </w:p>
    <w:p w:rsidR="00D5221A" w:rsidRDefault="00D5221A" w:rsidP="00372497">
      <w:pPr>
        <w:pStyle w:val="Para1"/>
      </w:pPr>
      <w:r>
        <w:t>Section 34(3) requires that, before the Tribunal can make an order under section 34(1)(b), it must be satisfied that:</w:t>
      </w:r>
    </w:p>
    <w:p w:rsidR="00D5221A" w:rsidRDefault="00D5221A" w:rsidP="00B83ED2">
      <w:pPr>
        <w:pStyle w:val="Para5"/>
      </w:pPr>
      <w:r>
        <w:t>Members holding more than 50% of total lot entitlements consent to the alteration of the plan of subdivision and</w:t>
      </w:r>
    </w:p>
    <w:p w:rsidR="00D5221A" w:rsidRDefault="00D5221A" w:rsidP="00B83ED2">
      <w:pPr>
        <w:pStyle w:val="Para5"/>
      </w:pPr>
      <w:r>
        <w:t>The proposed amendment “is likely to bring economic or social benefits to the subdivision as a whole greater than any economic or social disadvantages to the members who did not consent to the action”.</w:t>
      </w:r>
    </w:p>
    <w:p w:rsidR="00D5221A" w:rsidRDefault="00D5221A" w:rsidP="000B622A">
      <w:pPr>
        <w:pStyle w:val="Para1"/>
      </w:pPr>
      <w:r>
        <w:t>The first prerequisite is met; the holders of more than 50% of lot entitlements did vote in favour of altering the subdivision. The second prerequisite is more problematic.</w:t>
      </w:r>
    </w:p>
    <w:p w:rsidR="00D5221A" w:rsidRDefault="00AB670A" w:rsidP="000B622A">
      <w:pPr>
        <w:pStyle w:val="Para1"/>
      </w:pPr>
      <w:r>
        <w:t xml:space="preserve">The reasons put forward by the owners corporation as to why the benefits of the proposed alteration outweighed </w:t>
      </w:r>
      <w:r w:rsidR="00391FC7">
        <w:t xml:space="preserve">its </w:t>
      </w:r>
      <w:r>
        <w:t>disadvantages w</w:t>
      </w:r>
      <w:r w:rsidR="0008337A">
        <w:t>ere as follows</w:t>
      </w:r>
      <w:r>
        <w:t>:</w:t>
      </w:r>
    </w:p>
    <w:p w:rsidR="00D12C78" w:rsidRPr="00B83ED2" w:rsidRDefault="00D12C78" w:rsidP="00B83ED2">
      <w:pPr>
        <w:pStyle w:val="Quote1"/>
        <w:numPr>
          <w:ilvl w:val="1"/>
          <w:numId w:val="11"/>
        </w:numPr>
        <w:tabs>
          <w:tab w:val="left" w:pos="1701"/>
        </w:tabs>
        <w:ind w:left="1701" w:hanging="567"/>
        <w:rPr>
          <w:i/>
        </w:rPr>
      </w:pPr>
      <w:r w:rsidRPr="00B83ED2">
        <w:rPr>
          <w:i/>
        </w:rPr>
        <w:t>T</w:t>
      </w:r>
      <w:r w:rsidR="00854B51" w:rsidRPr="00B83ED2">
        <w:rPr>
          <w:i/>
        </w:rPr>
        <w:t xml:space="preserve">he fencing around the new lot 21 will not be the responsibility of the owners </w:t>
      </w:r>
      <w:r w:rsidRPr="00B83ED2">
        <w:rPr>
          <w:i/>
        </w:rPr>
        <w:t>c</w:t>
      </w:r>
      <w:r w:rsidR="00854B51" w:rsidRPr="00B83ED2">
        <w:rPr>
          <w:i/>
        </w:rPr>
        <w:t>orporation.</w:t>
      </w:r>
    </w:p>
    <w:p w:rsidR="00671EDC" w:rsidRDefault="00671EDC" w:rsidP="00671EDC">
      <w:pPr>
        <w:pStyle w:val="Para1"/>
        <w:numPr>
          <w:ilvl w:val="0"/>
          <w:numId w:val="0"/>
        </w:numPr>
        <w:ind w:left="567"/>
      </w:pPr>
      <w:r>
        <w:t>That is not correct.</w:t>
      </w:r>
      <w:r w:rsidR="00D12C78">
        <w:t xml:space="preserve"> </w:t>
      </w:r>
      <w:r>
        <w:t xml:space="preserve">The only fencing of the current lot </w:t>
      </w:r>
      <w:r w:rsidR="00B37EA6">
        <w:t>6</w:t>
      </w:r>
      <w:r>
        <w:t xml:space="preserve"> which is the responsibility of the owners corporation is the part of the lot which shares a boundary with the common property. If the Village Green became </w:t>
      </w:r>
      <w:r w:rsidR="00E72C9C">
        <w:t>a</w:t>
      </w:r>
      <w:r>
        <w:t xml:space="preserve"> new lot, the obligation of the owners corporation to fence the common boundary would remain</w:t>
      </w:r>
      <w:r w:rsidR="0008337A">
        <w:t>, unaffected</w:t>
      </w:r>
      <w:r>
        <w:t>.</w:t>
      </w:r>
    </w:p>
    <w:p w:rsidR="00D12C78" w:rsidRPr="00B83ED2" w:rsidRDefault="00D12C78" w:rsidP="00B83ED2">
      <w:pPr>
        <w:pStyle w:val="Para1"/>
        <w:numPr>
          <w:ilvl w:val="1"/>
          <w:numId w:val="11"/>
        </w:numPr>
        <w:tabs>
          <w:tab w:val="left" w:pos="1701"/>
        </w:tabs>
        <w:ind w:left="1701" w:hanging="567"/>
        <w:rPr>
          <w:i/>
          <w:sz w:val="22"/>
          <w:szCs w:val="22"/>
        </w:rPr>
      </w:pPr>
      <w:r w:rsidRPr="00B83ED2">
        <w:rPr>
          <w:i/>
          <w:sz w:val="22"/>
          <w:szCs w:val="22"/>
        </w:rPr>
        <w:t>T</w:t>
      </w:r>
      <w:r w:rsidR="00854B51" w:rsidRPr="00B83ED2">
        <w:rPr>
          <w:i/>
          <w:sz w:val="22"/>
          <w:szCs w:val="22"/>
        </w:rPr>
        <w:t xml:space="preserve">here will be no liability </w:t>
      </w:r>
      <w:r w:rsidR="0008337A" w:rsidRPr="00B83ED2">
        <w:rPr>
          <w:i/>
          <w:sz w:val="22"/>
          <w:szCs w:val="22"/>
        </w:rPr>
        <w:t xml:space="preserve">on the owners corporation to insure any building on </w:t>
      </w:r>
      <w:r w:rsidR="00854B51" w:rsidRPr="00B83ED2">
        <w:rPr>
          <w:i/>
          <w:sz w:val="22"/>
          <w:szCs w:val="22"/>
        </w:rPr>
        <w:t xml:space="preserve">the new lot 21. </w:t>
      </w:r>
    </w:p>
    <w:p w:rsidR="00854B51" w:rsidRPr="00671EDC" w:rsidRDefault="00D12C78" w:rsidP="00671EDC">
      <w:pPr>
        <w:pStyle w:val="Para1"/>
        <w:numPr>
          <w:ilvl w:val="0"/>
          <w:numId w:val="0"/>
        </w:numPr>
        <w:ind w:left="567"/>
      </w:pPr>
      <w:r w:rsidRPr="00671EDC">
        <w:t xml:space="preserve">Not a benefit to the subdivision. </w:t>
      </w:r>
      <w:r w:rsidR="00854B51" w:rsidRPr="00671EDC">
        <w:t xml:space="preserve">The owners corporation has no obligation to </w:t>
      </w:r>
      <w:r w:rsidR="00A17869">
        <w:t>i</w:t>
      </w:r>
      <w:r w:rsidR="00854B51" w:rsidRPr="00671EDC">
        <w:t>nsure lots, only common property.</w:t>
      </w:r>
    </w:p>
    <w:p w:rsidR="00D12C78" w:rsidRPr="00B83ED2" w:rsidRDefault="00D12C78" w:rsidP="00B83ED2">
      <w:pPr>
        <w:pStyle w:val="Para1"/>
        <w:numPr>
          <w:ilvl w:val="1"/>
          <w:numId w:val="11"/>
        </w:numPr>
        <w:tabs>
          <w:tab w:val="left" w:pos="1701"/>
        </w:tabs>
        <w:ind w:left="1701" w:hanging="567"/>
        <w:rPr>
          <w:i/>
          <w:sz w:val="22"/>
          <w:szCs w:val="22"/>
        </w:rPr>
      </w:pPr>
      <w:r w:rsidRPr="00B83ED2">
        <w:rPr>
          <w:i/>
          <w:sz w:val="22"/>
          <w:szCs w:val="22"/>
        </w:rPr>
        <w:t>P</w:t>
      </w:r>
      <w:r w:rsidR="00854B51" w:rsidRPr="00B83ED2">
        <w:rPr>
          <w:i/>
          <w:sz w:val="22"/>
          <w:szCs w:val="22"/>
        </w:rPr>
        <w:t xml:space="preserve">ublic risk insurance would be reduced. </w:t>
      </w:r>
    </w:p>
    <w:p w:rsidR="00854B51" w:rsidRPr="00671EDC" w:rsidRDefault="00854B51" w:rsidP="00671EDC">
      <w:pPr>
        <w:pStyle w:val="Para1"/>
        <w:numPr>
          <w:ilvl w:val="0"/>
          <w:numId w:val="0"/>
        </w:numPr>
        <w:ind w:left="567"/>
      </w:pPr>
      <w:r w:rsidRPr="00671EDC">
        <w:t>The owners corporation</w:t>
      </w:r>
      <w:r w:rsidR="00671EDC" w:rsidRPr="00671EDC">
        <w:t xml:space="preserve"> currently</w:t>
      </w:r>
      <w:r w:rsidRPr="00671EDC">
        <w:t xml:space="preserve"> has no public risk exposure </w:t>
      </w:r>
      <w:r w:rsidR="00D12C78" w:rsidRPr="00671EDC">
        <w:t xml:space="preserve">in relation to the Village Green </w:t>
      </w:r>
      <w:r w:rsidRPr="00671EDC">
        <w:t xml:space="preserve">– the land belongs to the owner of Lot 6, </w:t>
      </w:r>
      <w:r w:rsidR="00D12C78" w:rsidRPr="00671EDC">
        <w:t xml:space="preserve">not </w:t>
      </w:r>
      <w:r w:rsidRPr="00671EDC">
        <w:t xml:space="preserve">the owners </w:t>
      </w:r>
      <w:r w:rsidR="00391FC7" w:rsidRPr="00671EDC">
        <w:t>c</w:t>
      </w:r>
      <w:r w:rsidRPr="00671EDC">
        <w:t>orporation</w:t>
      </w:r>
      <w:r w:rsidR="00671EDC" w:rsidRPr="00671EDC">
        <w:t>.</w:t>
      </w:r>
    </w:p>
    <w:p w:rsidR="001B0148" w:rsidRPr="00B83ED2" w:rsidRDefault="001B0148" w:rsidP="00B83ED2">
      <w:pPr>
        <w:pStyle w:val="Para1"/>
        <w:numPr>
          <w:ilvl w:val="1"/>
          <w:numId w:val="11"/>
        </w:numPr>
        <w:tabs>
          <w:tab w:val="left" w:pos="1701"/>
        </w:tabs>
        <w:ind w:left="1701" w:hanging="567"/>
        <w:rPr>
          <w:i/>
          <w:sz w:val="22"/>
          <w:szCs w:val="22"/>
        </w:rPr>
      </w:pPr>
      <w:r w:rsidRPr="00B83ED2">
        <w:rPr>
          <w:i/>
          <w:sz w:val="22"/>
          <w:szCs w:val="22"/>
        </w:rPr>
        <w:t xml:space="preserve">There would be improved safety and security </w:t>
      </w:r>
      <w:r w:rsidR="0008337A" w:rsidRPr="00B83ED2">
        <w:rPr>
          <w:i/>
          <w:sz w:val="22"/>
          <w:szCs w:val="22"/>
        </w:rPr>
        <w:t>w</w:t>
      </w:r>
      <w:r w:rsidRPr="00B83ED2">
        <w:rPr>
          <w:i/>
          <w:sz w:val="22"/>
          <w:szCs w:val="22"/>
        </w:rPr>
        <w:t>ith “reduced opportunities for vandalism or persons engaging in antisocial behaviour”.</w:t>
      </w:r>
    </w:p>
    <w:p w:rsidR="001B0148" w:rsidRPr="001B0148" w:rsidRDefault="001B0148" w:rsidP="001B0148">
      <w:pPr>
        <w:pStyle w:val="Para1"/>
        <w:numPr>
          <w:ilvl w:val="0"/>
          <w:numId w:val="0"/>
        </w:numPr>
        <w:ind w:left="567"/>
      </w:pPr>
      <w:r>
        <w:t>The owners corporation adduced no evidence</w:t>
      </w:r>
      <w:r w:rsidR="00B9544B">
        <w:t xml:space="preserve"> to suggest that there were currently any safety or security issues in relation to the Village Green or persons </w:t>
      </w:r>
      <w:r w:rsidR="00E72C9C">
        <w:t>en</w:t>
      </w:r>
      <w:r w:rsidR="00B9544B">
        <w:t>gaging in vandalism or antisocial behaviour.</w:t>
      </w:r>
    </w:p>
    <w:p w:rsidR="00854B51" w:rsidRPr="00B83ED2" w:rsidRDefault="00D12C78" w:rsidP="00B83ED2">
      <w:pPr>
        <w:pStyle w:val="Para1"/>
        <w:numPr>
          <w:ilvl w:val="1"/>
          <w:numId w:val="11"/>
        </w:numPr>
        <w:tabs>
          <w:tab w:val="left" w:pos="1701"/>
        </w:tabs>
        <w:ind w:left="1701" w:hanging="567"/>
        <w:rPr>
          <w:i/>
          <w:sz w:val="22"/>
          <w:szCs w:val="22"/>
        </w:rPr>
      </w:pPr>
      <w:r w:rsidRPr="00B83ED2">
        <w:rPr>
          <w:i/>
          <w:sz w:val="22"/>
          <w:szCs w:val="22"/>
        </w:rPr>
        <w:t>A</w:t>
      </w:r>
      <w:r w:rsidR="00854B51" w:rsidRPr="00B83ED2">
        <w:rPr>
          <w:i/>
          <w:sz w:val="22"/>
          <w:szCs w:val="22"/>
        </w:rPr>
        <w:t xml:space="preserve">ll expenses relating to the future development of the new lot 21 would be met by the </w:t>
      </w:r>
      <w:r w:rsidR="0008337A" w:rsidRPr="00B83ED2">
        <w:rPr>
          <w:i/>
          <w:sz w:val="22"/>
          <w:szCs w:val="22"/>
        </w:rPr>
        <w:t>owners of</w:t>
      </w:r>
      <w:r w:rsidR="00854B51" w:rsidRPr="00B83ED2">
        <w:rPr>
          <w:i/>
          <w:sz w:val="22"/>
          <w:szCs w:val="22"/>
        </w:rPr>
        <w:t xml:space="preserve"> the new lot 21, not the owners corporation</w:t>
      </w:r>
      <w:r w:rsidRPr="00B83ED2">
        <w:rPr>
          <w:i/>
          <w:sz w:val="22"/>
          <w:szCs w:val="22"/>
        </w:rPr>
        <w:t>.</w:t>
      </w:r>
    </w:p>
    <w:p w:rsidR="00D12C78" w:rsidRDefault="000349F3" w:rsidP="00671EDC">
      <w:pPr>
        <w:pStyle w:val="Para1"/>
        <w:numPr>
          <w:ilvl w:val="0"/>
          <w:numId w:val="0"/>
        </w:numPr>
        <w:ind w:left="567"/>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12C78">
        <w:t>Obviously, not a benefit to the subdivision</w:t>
      </w:r>
      <w:r w:rsidR="00391FC7">
        <w:t>.</w:t>
      </w:r>
    </w:p>
    <w:p w:rsidR="00391FC7" w:rsidRPr="00B37EA6" w:rsidRDefault="00D12C78" w:rsidP="00B83ED2">
      <w:pPr>
        <w:pStyle w:val="Para1"/>
        <w:numPr>
          <w:ilvl w:val="1"/>
          <w:numId w:val="11"/>
        </w:numPr>
        <w:tabs>
          <w:tab w:val="left" w:pos="1701"/>
        </w:tabs>
        <w:ind w:left="1701" w:hanging="567"/>
        <w:rPr>
          <w:i/>
          <w:sz w:val="22"/>
          <w:szCs w:val="22"/>
        </w:rPr>
      </w:pPr>
      <w:r w:rsidRPr="00B37EA6">
        <w:rPr>
          <w:i/>
          <w:sz w:val="22"/>
          <w:szCs w:val="22"/>
        </w:rPr>
        <w:t>T</w:t>
      </w:r>
      <w:r w:rsidR="00854B51" w:rsidRPr="00B37EA6">
        <w:rPr>
          <w:i/>
          <w:sz w:val="22"/>
          <w:szCs w:val="22"/>
        </w:rPr>
        <w:t>here will be no reduction in the common property</w:t>
      </w:r>
      <w:r w:rsidRPr="00B37EA6">
        <w:rPr>
          <w:i/>
          <w:sz w:val="22"/>
          <w:szCs w:val="22"/>
        </w:rPr>
        <w:t>.</w:t>
      </w:r>
    </w:p>
    <w:p w:rsidR="00D12C78" w:rsidRDefault="00391FC7" w:rsidP="00671EDC">
      <w:pPr>
        <w:pStyle w:val="Para1"/>
        <w:numPr>
          <w:ilvl w:val="0"/>
          <w:numId w:val="0"/>
        </w:numPr>
        <w:ind w:left="567"/>
      </w:pPr>
      <w:r>
        <w:t>Obviously, not a benefit to the subdivision.</w:t>
      </w:r>
    </w:p>
    <w:p w:rsidR="00B9544B" w:rsidRPr="00B83ED2" w:rsidRDefault="00D12C78" w:rsidP="00B83ED2">
      <w:pPr>
        <w:pStyle w:val="Para1"/>
        <w:numPr>
          <w:ilvl w:val="1"/>
          <w:numId w:val="11"/>
        </w:numPr>
        <w:tabs>
          <w:tab w:val="left" w:pos="1701"/>
        </w:tabs>
        <w:ind w:left="1701" w:hanging="567"/>
        <w:rPr>
          <w:i/>
          <w:sz w:val="22"/>
          <w:szCs w:val="22"/>
        </w:rPr>
      </w:pPr>
      <w:r w:rsidRPr="00B83ED2">
        <w:rPr>
          <w:sz w:val="22"/>
          <w:szCs w:val="22"/>
        </w:rPr>
        <w:tab/>
      </w:r>
      <w:r w:rsidRPr="00B83ED2">
        <w:rPr>
          <w:i/>
          <w:sz w:val="22"/>
          <w:szCs w:val="22"/>
        </w:rPr>
        <w:t>T</w:t>
      </w:r>
      <w:r w:rsidR="00854B51" w:rsidRPr="00B83ED2">
        <w:rPr>
          <w:i/>
          <w:sz w:val="22"/>
          <w:szCs w:val="22"/>
        </w:rPr>
        <w:t xml:space="preserve">here will be improved safety and security. </w:t>
      </w:r>
    </w:p>
    <w:p w:rsidR="00854B51" w:rsidRDefault="00854B51" w:rsidP="00391FC7">
      <w:pPr>
        <w:pStyle w:val="Para1"/>
        <w:numPr>
          <w:ilvl w:val="0"/>
          <w:numId w:val="0"/>
        </w:numPr>
        <w:ind w:left="567"/>
      </w:pPr>
      <w:r>
        <w:t>No evidence was</w:t>
      </w:r>
      <w:r w:rsidR="00B9544B">
        <w:t xml:space="preserve"> adduced </w:t>
      </w:r>
      <w:r>
        <w:t>by the owners corporation about what safety and security risks the Village Gr</w:t>
      </w:r>
      <w:r w:rsidR="00D12C78">
        <w:t>een</w:t>
      </w:r>
      <w:r>
        <w:t xml:space="preserve"> currently presents</w:t>
      </w:r>
      <w:r w:rsidR="00D12C78">
        <w:t>.</w:t>
      </w:r>
      <w:r>
        <w:t xml:space="preserve"> </w:t>
      </w:r>
    </w:p>
    <w:p w:rsidR="00B9544B" w:rsidRPr="00B83ED2" w:rsidRDefault="00B9544B" w:rsidP="00B83ED2">
      <w:pPr>
        <w:pStyle w:val="Para1"/>
        <w:numPr>
          <w:ilvl w:val="1"/>
          <w:numId w:val="11"/>
        </w:numPr>
        <w:tabs>
          <w:tab w:val="left" w:pos="1701"/>
        </w:tabs>
        <w:ind w:left="1701" w:hanging="567"/>
        <w:rPr>
          <w:i/>
          <w:sz w:val="22"/>
          <w:szCs w:val="22"/>
        </w:rPr>
      </w:pPr>
      <w:r w:rsidRPr="00B83ED2">
        <w:rPr>
          <w:i/>
          <w:sz w:val="22"/>
          <w:szCs w:val="22"/>
        </w:rPr>
        <w:t xml:space="preserve">The house likely to be built on the new lot 21 would have a higher value than the houses </w:t>
      </w:r>
      <w:r w:rsidR="00EE654C" w:rsidRPr="00B83ED2">
        <w:rPr>
          <w:i/>
          <w:sz w:val="22"/>
          <w:szCs w:val="22"/>
        </w:rPr>
        <w:t>i</w:t>
      </w:r>
      <w:r w:rsidRPr="00B83ED2">
        <w:rPr>
          <w:i/>
          <w:sz w:val="22"/>
          <w:szCs w:val="22"/>
        </w:rPr>
        <w:t>n the court and</w:t>
      </w:r>
      <w:r w:rsidR="00EE654C" w:rsidRPr="00B83ED2">
        <w:rPr>
          <w:i/>
          <w:sz w:val="22"/>
          <w:szCs w:val="22"/>
        </w:rPr>
        <w:t>,</w:t>
      </w:r>
      <w:r w:rsidRPr="00B83ED2">
        <w:rPr>
          <w:i/>
          <w:sz w:val="22"/>
          <w:szCs w:val="22"/>
        </w:rPr>
        <w:t xml:space="preserve"> therefore</w:t>
      </w:r>
      <w:r w:rsidR="00EE654C" w:rsidRPr="00B83ED2">
        <w:rPr>
          <w:i/>
          <w:sz w:val="22"/>
          <w:szCs w:val="22"/>
        </w:rPr>
        <w:t>,</w:t>
      </w:r>
      <w:r w:rsidRPr="00B83ED2">
        <w:rPr>
          <w:i/>
          <w:sz w:val="22"/>
          <w:szCs w:val="22"/>
        </w:rPr>
        <w:t xml:space="preserve"> property values in the immediate locality would increase, th</w:t>
      </w:r>
      <w:r w:rsidR="00EE654C" w:rsidRPr="00B83ED2">
        <w:rPr>
          <w:i/>
          <w:sz w:val="22"/>
          <w:szCs w:val="22"/>
        </w:rPr>
        <w:t>us</w:t>
      </w:r>
      <w:r w:rsidRPr="00B83ED2">
        <w:rPr>
          <w:i/>
          <w:sz w:val="22"/>
          <w:szCs w:val="22"/>
        </w:rPr>
        <w:t xml:space="preserve"> benefiting the subdivision as a whole.</w:t>
      </w:r>
    </w:p>
    <w:p w:rsidR="00B9544B" w:rsidRPr="00B9544B" w:rsidRDefault="00B9544B" w:rsidP="00B9544B">
      <w:pPr>
        <w:pStyle w:val="Para1"/>
        <w:numPr>
          <w:ilvl w:val="0"/>
          <w:numId w:val="0"/>
        </w:numPr>
        <w:ind w:left="567"/>
      </w:pPr>
      <w:r>
        <w:t xml:space="preserve">The owners corporation did not </w:t>
      </w:r>
      <w:r w:rsidR="00B37EA6">
        <w:t>ad</w:t>
      </w:r>
      <w:r>
        <w:t>duce any evidence to support that assertion.</w:t>
      </w:r>
    </w:p>
    <w:p w:rsidR="00B442B9" w:rsidRDefault="00B442B9" w:rsidP="000B622A">
      <w:pPr>
        <w:pStyle w:val="Para1"/>
      </w:pPr>
      <w:r>
        <w:t>The disadvantages to the subdivision as a whole which the owners corporation identified were:</w:t>
      </w:r>
    </w:p>
    <w:p w:rsidR="00B9544B" w:rsidRPr="00B37EA6" w:rsidRDefault="00B9544B" w:rsidP="00B83ED2">
      <w:pPr>
        <w:pStyle w:val="Para1"/>
        <w:numPr>
          <w:ilvl w:val="1"/>
          <w:numId w:val="11"/>
        </w:numPr>
        <w:tabs>
          <w:tab w:val="left" w:pos="1701"/>
        </w:tabs>
        <w:ind w:left="1701" w:hanging="567"/>
        <w:rPr>
          <w:sz w:val="22"/>
          <w:szCs w:val="22"/>
        </w:rPr>
      </w:pPr>
      <w:r w:rsidRPr="00B37EA6">
        <w:rPr>
          <w:sz w:val="22"/>
          <w:szCs w:val="22"/>
        </w:rPr>
        <w:t>A negligible increase in traffic on the common property driveway.</w:t>
      </w:r>
    </w:p>
    <w:p w:rsidR="00B9544B" w:rsidRPr="00B37EA6" w:rsidRDefault="00E72C9C" w:rsidP="00B83ED2">
      <w:pPr>
        <w:pStyle w:val="Para1"/>
        <w:numPr>
          <w:ilvl w:val="1"/>
          <w:numId w:val="11"/>
        </w:numPr>
        <w:tabs>
          <w:tab w:val="left" w:pos="1701"/>
        </w:tabs>
        <w:ind w:left="1701" w:hanging="567"/>
        <w:rPr>
          <w:sz w:val="22"/>
          <w:szCs w:val="22"/>
        </w:rPr>
      </w:pPr>
      <w:r w:rsidRPr="00B37EA6">
        <w:rPr>
          <w:sz w:val="22"/>
          <w:szCs w:val="22"/>
        </w:rPr>
        <w:t>D</w:t>
      </w:r>
      <w:r w:rsidR="00B9544B" w:rsidRPr="00B37EA6">
        <w:rPr>
          <w:sz w:val="22"/>
          <w:szCs w:val="22"/>
        </w:rPr>
        <w:t xml:space="preserve">isruption as a result of construction on the new lot. </w:t>
      </w:r>
    </w:p>
    <w:p w:rsidR="00B9544B" w:rsidRPr="00B37EA6" w:rsidRDefault="00B9544B" w:rsidP="00B83ED2">
      <w:pPr>
        <w:pStyle w:val="Para1"/>
        <w:numPr>
          <w:ilvl w:val="1"/>
          <w:numId w:val="11"/>
        </w:numPr>
        <w:tabs>
          <w:tab w:val="left" w:pos="1701"/>
        </w:tabs>
        <w:ind w:left="1701" w:hanging="567"/>
        <w:rPr>
          <w:sz w:val="22"/>
          <w:szCs w:val="22"/>
        </w:rPr>
      </w:pPr>
      <w:r w:rsidRPr="00B37EA6">
        <w:rPr>
          <w:sz w:val="22"/>
          <w:szCs w:val="22"/>
        </w:rPr>
        <w:t>The visual amenity of lots 5, 6 and 7, which have outlooks towards the Village Green, would be reduced.</w:t>
      </w:r>
    </w:p>
    <w:p w:rsidR="00B442B9" w:rsidRDefault="00BF770E" w:rsidP="000B622A">
      <w:pPr>
        <w:pStyle w:val="Para1"/>
      </w:pPr>
      <w:r>
        <w:t>R</w:t>
      </w:r>
      <w:r w:rsidR="00B442B9">
        <w:t>eflection</w:t>
      </w:r>
      <w:r w:rsidR="00EE654C">
        <w:t xml:space="preserve"> </w:t>
      </w:r>
      <w:r w:rsidR="00B442B9">
        <w:t>shows that the disadvantages to the subdivision are</w:t>
      </w:r>
      <w:r w:rsidR="00EE654C">
        <w:t xml:space="preserve"> both more</w:t>
      </w:r>
      <w:r w:rsidR="00B442B9">
        <w:t xml:space="preserve"> numerous and substantial</w:t>
      </w:r>
      <w:r w:rsidR="00EE654C">
        <w:t xml:space="preserve"> than those identified by the owners corporation</w:t>
      </w:r>
      <w:r w:rsidR="00B442B9">
        <w:t>.</w:t>
      </w:r>
    </w:p>
    <w:p w:rsidR="00B442B9" w:rsidRDefault="00B442B9" w:rsidP="00BF770E">
      <w:pPr>
        <w:pStyle w:val="Para1"/>
        <w:numPr>
          <w:ilvl w:val="1"/>
          <w:numId w:val="11"/>
        </w:numPr>
        <w:tabs>
          <w:tab w:val="num" w:pos="567"/>
        </w:tabs>
      </w:pPr>
      <w:r>
        <w:t xml:space="preserve">The subdivision would lose </w:t>
      </w:r>
      <w:r w:rsidR="00BF770E">
        <w:t xml:space="preserve">the </w:t>
      </w:r>
      <w:r>
        <w:t xml:space="preserve">benefit of the Village Green. </w:t>
      </w:r>
      <w:r w:rsidR="001B0148">
        <w:t xml:space="preserve">The owners corporation submitted no evidence about the role of the Village Green in the life of the subdivision. </w:t>
      </w:r>
      <w:r>
        <w:t>It is</w:t>
      </w:r>
      <w:r w:rsidR="001B0148">
        <w:t>, however,</w:t>
      </w:r>
      <w:r>
        <w:t xml:space="preserve"> improbable that the lot owners would refer to the land as </w:t>
      </w:r>
      <w:r w:rsidR="00BF770E">
        <w:t>“</w:t>
      </w:r>
      <w:r>
        <w:t>the Village G</w:t>
      </w:r>
      <w:r w:rsidR="00BF770E">
        <w:t>reen”</w:t>
      </w:r>
      <w:r>
        <w:t xml:space="preserve"> if it were not seen by them as being an asset for the subdivision as a whole. The Village Green is not an irrelevant, dangling appendage to the subdivision. The parking lots are located around it and the photographic evidence tendered by the owners corporation showed that the Green is m</w:t>
      </w:r>
      <w:r w:rsidR="00BF770E">
        <w:t>own</w:t>
      </w:r>
      <w:r>
        <w:t xml:space="preserve">, </w:t>
      </w:r>
      <w:r w:rsidR="00BF770E">
        <w:t>n</w:t>
      </w:r>
      <w:r>
        <w:t xml:space="preserve">eat and, as its name suggests, ideal for a </w:t>
      </w:r>
      <w:r w:rsidR="00BF770E">
        <w:t xml:space="preserve">hit </w:t>
      </w:r>
      <w:r>
        <w:t xml:space="preserve">of cricket or kicking a football. Its amenity is increased by the fact that it is located at the end of a </w:t>
      </w:r>
      <w:r w:rsidR="00B37EA6">
        <w:t>c</w:t>
      </w:r>
      <w:r>
        <w:t>ourt</w:t>
      </w:r>
      <w:r w:rsidR="00BF770E">
        <w:t>.</w:t>
      </w:r>
    </w:p>
    <w:p w:rsidR="00B442B9" w:rsidRDefault="00B442B9" w:rsidP="00BF770E">
      <w:pPr>
        <w:pStyle w:val="Para1"/>
        <w:numPr>
          <w:ilvl w:val="1"/>
          <w:numId w:val="11"/>
        </w:numPr>
        <w:tabs>
          <w:tab w:val="num" w:pos="567"/>
        </w:tabs>
      </w:pPr>
      <w:r>
        <w:t xml:space="preserve">The height limit of </w:t>
      </w:r>
      <w:r w:rsidR="00722A71">
        <w:t>8</w:t>
      </w:r>
      <w:r>
        <w:t xml:space="preserve"> metres proposed for the new lot 21 would allow the construction of a substantial</w:t>
      </w:r>
      <w:r w:rsidR="00BF770E">
        <w:t>,</w:t>
      </w:r>
      <w:r>
        <w:t xml:space="preserve"> double</w:t>
      </w:r>
      <w:r w:rsidR="00BF770E">
        <w:t>-</w:t>
      </w:r>
      <w:r>
        <w:t xml:space="preserve">story building. The construction of such a building </w:t>
      </w:r>
      <w:r w:rsidR="00722A71">
        <w:t>w</w:t>
      </w:r>
      <w:r>
        <w:t xml:space="preserve">ould render the proposed amended table of liabilities and entitlements inaccurate, as </w:t>
      </w:r>
      <w:r w:rsidR="00722A71">
        <w:t>the table was based on the proposed lot 21 being vacant land</w:t>
      </w:r>
      <w:r w:rsidR="00EE654C">
        <w:t>.</w:t>
      </w:r>
      <w:r w:rsidR="00722A71">
        <w:t xml:space="preserve"> </w:t>
      </w:r>
      <w:r w:rsidR="00722A71">
        <w:rPr>
          <w:rStyle w:val="FootnoteReference"/>
        </w:rPr>
        <w:footnoteReference w:id="2"/>
      </w:r>
      <w:r w:rsidR="00722A71">
        <w:t xml:space="preserve"> T</w:t>
      </w:r>
      <w:r>
        <w:t>he table is required to reflect the value of the lots</w:t>
      </w:r>
      <w:r w:rsidR="00EE654C">
        <w:t xml:space="preserve"> as well as </w:t>
      </w:r>
      <w:r>
        <w:t xml:space="preserve">a just and equitable contribution to the costs of the owners corporation – section 33 (2) and (3) of the </w:t>
      </w:r>
      <w:r w:rsidR="00EE654C">
        <w:t>Act</w:t>
      </w:r>
      <w:r>
        <w:t xml:space="preserve">. If the table did become </w:t>
      </w:r>
      <w:r w:rsidR="00BF770E">
        <w:t>in</w:t>
      </w:r>
      <w:r>
        <w:t xml:space="preserve">accurate, the owners corporation would be exposed to the real prospect of conflict, as well as the cost and </w:t>
      </w:r>
      <w:r w:rsidR="000349F3">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trouble of amending the table to reflect what</w:t>
      </w:r>
      <w:r w:rsidR="00E70C66">
        <w:t>ever</w:t>
      </w:r>
      <w:r>
        <w:t xml:space="preserve"> was built on the new lot 21.</w:t>
      </w:r>
    </w:p>
    <w:p w:rsidR="00B442B9" w:rsidRDefault="00B442B9" w:rsidP="00BF770E">
      <w:pPr>
        <w:pStyle w:val="Para1"/>
        <w:numPr>
          <w:ilvl w:val="1"/>
          <w:numId w:val="11"/>
        </w:numPr>
        <w:tabs>
          <w:tab w:val="num" w:pos="567"/>
        </w:tabs>
      </w:pPr>
      <w:r>
        <w:t>It is probable that the new lot 21 would be developed, with a building very different to the ageing, low</w:t>
      </w:r>
      <w:r w:rsidR="00BF770E">
        <w:t>-</w:t>
      </w:r>
      <w:r>
        <w:t>scale building on the rest of the subdivision. In such circumstances, there would be significant potential for conflict over insurance and repair and maintenance.</w:t>
      </w:r>
    </w:p>
    <w:p w:rsidR="00B442B9" w:rsidRDefault="00B442B9" w:rsidP="00BF770E">
      <w:pPr>
        <w:pStyle w:val="Para1"/>
        <w:numPr>
          <w:ilvl w:val="1"/>
          <w:numId w:val="11"/>
        </w:numPr>
        <w:tabs>
          <w:tab w:val="num" w:pos="567"/>
        </w:tabs>
      </w:pPr>
      <w:r>
        <w:t xml:space="preserve">There would be increased traffic in the </w:t>
      </w:r>
      <w:r w:rsidR="00E70C66">
        <w:t>c</w:t>
      </w:r>
      <w:r>
        <w:t>ourt</w:t>
      </w:r>
      <w:r w:rsidR="00BF770E">
        <w:t>.</w:t>
      </w:r>
    </w:p>
    <w:p w:rsidR="00B442B9" w:rsidRDefault="00B442B9" w:rsidP="00BF770E">
      <w:pPr>
        <w:pStyle w:val="Para1"/>
        <w:numPr>
          <w:ilvl w:val="1"/>
          <w:numId w:val="11"/>
        </w:numPr>
        <w:tabs>
          <w:tab w:val="num" w:pos="567"/>
        </w:tabs>
      </w:pPr>
      <w:r>
        <w:t xml:space="preserve">Perhaps most significantly, the </w:t>
      </w:r>
      <w:r w:rsidR="0008337A">
        <w:t>owners of</w:t>
      </w:r>
      <w:r>
        <w:t xml:space="preserve"> Lot 6</w:t>
      </w:r>
      <w:r w:rsidR="00E70C66">
        <w:t>, who have not offered any payment to the owners corporation,</w:t>
      </w:r>
      <w:r>
        <w:t xml:space="preserve"> would acquire, without cost, extremely valuable property of the owners corporation.</w:t>
      </w:r>
      <w:r w:rsidRPr="00B442B9">
        <w:t xml:space="preserve"> </w:t>
      </w:r>
      <w:r>
        <w:t>Unfortunately, the owners corporation did not provide any evidence about the current value of the Village Green or the likely value of the proposed lot 21. With a</w:t>
      </w:r>
      <w:r w:rsidR="00E70C66">
        <w:t xml:space="preserve"> current</w:t>
      </w:r>
      <w:r>
        <w:t xml:space="preserve"> upper limit of </w:t>
      </w:r>
      <w:r w:rsidR="00EE654C">
        <w:t>2.5 metres</w:t>
      </w:r>
      <w:r>
        <w:t xml:space="preserve"> and a lower limit of </w:t>
      </w:r>
      <w:r w:rsidR="00EE654C">
        <w:t>1 metre</w:t>
      </w:r>
      <w:r>
        <w:t>, the development potential of the Village Green must be limited, at best. By contrast, the value of the proposed lot 21, vacant residential land</w:t>
      </w:r>
      <w:r w:rsidR="00E70C66">
        <w:t xml:space="preserve"> suitable for a 2-storey home</w:t>
      </w:r>
      <w:r w:rsidR="001B0148">
        <w:t>, 800 m</w:t>
      </w:r>
      <w:r w:rsidR="00E72C9C">
        <w:t>etres</w:t>
      </w:r>
      <w:r w:rsidR="001B0148">
        <w:t xml:space="preserve"> from a railway station</w:t>
      </w:r>
      <w:r>
        <w:t xml:space="preserve"> in an established bayside suburb, could not be anything other than substantial. It follows that the airspace above and the land below the Village Green</w:t>
      </w:r>
      <w:r w:rsidR="00EE654C">
        <w:t>,</w:t>
      </w:r>
      <w:r>
        <w:t xml:space="preserve"> which the </w:t>
      </w:r>
      <w:r w:rsidR="0008337A">
        <w:t>owners of</w:t>
      </w:r>
      <w:r>
        <w:t xml:space="preserve"> Lot 6 would acquire and which are the property of the owners corporation, are of </w:t>
      </w:r>
      <w:r w:rsidR="00E72C9C">
        <w:t xml:space="preserve">very </w:t>
      </w:r>
      <w:r>
        <w:t xml:space="preserve">significant value. It follows equally that for the subdivision to </w:t>
      </w:r>
      <w:r w:rsidR="00E70C66">
        <w:t>transfer them to the owners of lot 6</w:t>
      </w:r>
      <w:r w:rsidR="00BF770E">
        <w:t>,</w:t>
      </w:r>
      <w:r>
        <w:t xml:space="preserve"> without any compensation</w:t>
      </w:r>
      <w:r w:rsidR="00BF770E">
        <w:t>,</w:t>
      </w:r>
      <w:r>
        <w:t xml:space="preserve"> is a most significant economic disadvantage to the members of the subdivision.</w:t>
      </w:r>
    </w:p>
    <w:p w:rsidR="00AC6051" w:rsidRDefault="00AC6051" w:rsidP="000B622A">
      <w:pPr>
        <w:pStyle w:val="Para1"/>
      </w:pPr>
      <w:r>
        <w:t xml:space="preserve">In summary, </w:t>
      </w:r>
      <w:r w:rsidR="00EE654C">
        <w:t>I find</w:t>
      </w:r>
      <w:r>
        <w:t xml:space="preserve"> that the proposed amendment’s economic and social advantages</w:t>
      </w:r>
      <w:r w:rsidR="00744B97">
        <w:t xml:space="preserve"> </w:t>
      </w:r>
      <w:r>
        <w:t>to the subdivision as a whole, if any, do not outweigh the economic or social disadvantages to the members who did not consent to the amendments.</w:t>
      </w:r>
      <w:r w:rsidR="00EE654C">
        <w:t xml:space="preserve"> That part of the owners corporation’s claim is dismissed.</w:t>
      </w:r>
    </w:p>
    <w:p w:rsidR="00AC6051" w:rsidRPr="00D95E40" w:rsidRDefault="00AC6051" w:rsidP="00B83ED2">
      <w:pPr>
        <w:pStyle w:val="Heading3"/>
      </w:pPr>
      <w:r w:rsidRPr="00D95E40">
        <w:t>Application under section 34D(</w:t>
      </w:r>
      <w:r w:rsidR="00D95E40" w:rsidRPr="00D95E40">
        <w:t>1</w:t>
      </w:r>
      <w:r w:rsidR="00D95E40">
        <w:t>)</w:t>
      </w:r>
      <w:r w:rsidRPr="00D95E40">
        <w:t>(a)</w:t>
      </w:r>
    </w:p>
    <w:p w:rsidR="00AC6051" w:rsidRDefault="00D95E40" w:rsidP="000B622A">
      <w:pPr>
        <w:pStyle w:val="Para1"/>
      </w:pPr>
      <w:r>
        <w:t>W</w:t>
      </w:r>
      <w:r w:rsidR="00AC6051">
        <w:t>hile the owners corporation</w:t>
      </w:r>
      <w:r w:rsidR="00D01E7F">
        <w:t>’s application</w:t>
      </w:r>
      <w:r w:rsidR="00AC6051">
        <w:t xml:space="preserve"> under section 34D(1)(</w:t>
      </w:r>
      <w:r>
        <w:t>b</w:t>
      </w:r>
      <w:r w:rsidR="00AC6051">
        <w:t>) fails, there remains its application under section 34D(</w:t>
      </w:r>
      <w:r>
        <w:t>1</w:t>
      </w:r>
      <w:r w:rsidR="00AC6051">
        <w:t>)(</w:t>
      </w:r>
      <w:r>
        <w:t>a</w:t>
      </w:r>
      <w:r w:rsidR="00AC6051">
        <w:t>).</w:t>
      </w:r>
    </w:p>
    <w:p w:rsidR="00AC6051" w:rsidRDefault="00AC6051" w:rsidP="000B622A">
      <w:pPr>
        <w:pStyle w:val="Para1"/>
      </w:pPr>
      <w:r>
        <w:t>The interplay between section 34D(1)(a) and (</w:t>
      </w:r>
      <w:r w:rsidR="00D95E40">
        <w:t>b</w:t>
      </w:r>
      <w:r>
        <w:t xml:space="preserve">) was considered by the Tribunal in the matter of </w:t>
      </w:r>
      <w:r w:rsidRPr="00D12FE3">
        <w:rPr>
          <w:i/>
        </w:rPr>
        <w:t>Conroy v Owners Corporation Strata Plan 30438</w:t>
      </w:r>
      <w:r>
        <w:t xml:space="preserve"> (Owners Corporations) [2014] VCAT 550</w:t>
      </w:r>
      <w:r w:rsidR="00E56359">
        <w:t xml:space="preserve"> (</w:t>
      </w:r>
      <w:r w:rsidR="00E56359">
        <w:rPr>
          <w:i/>
        </w:rPr>
        <w:t>Conroy)</w:t>
      </w:r>
      <w:r>
        <w:t xml:space="preserve">. </w:t>
      </w:r>
      <w:r w:rsidR="00D01E7F">
        <w:t xml:space="preserve">In that decision, </w:t>
      </w:r>
      <w:r>
        <w:t xml:space="preserve">Garde J made it clear that an application may be brought under either subsection </w:t>
      </w:r>
      <w:r w:rsidR="00EE654C">
        <w:t>-</w:t>
      </w:r>
      <w:r>
        <w:t>and that failure under one</w:t>
      </w:r>
      <w:r w:rsidR="00E56359">
        <w:t>,</w:t>
      </w:r>
      <w:r>
        <w:t xml:space="preserve"> does not necessarily affect an application under the other:</w:t>
      </w:r>
    </w:p>
    <w:p w:rsidR="00854B51" w:rsidRPr="00D95E40" w:rsidRDefault="00D95E40" w:rsidP="00B83ED2">
      <w:pPr>
        <w:pStyle w:val="Quote1"/>
      </w:pPr>
      <w:r w:rsidRPr="00D95E40">
        <w:t>T</w:t>
      </w:r>
      <w:r w:rsidR="00AC6051" w:rsidRPr="00D95E40">
        <w:t xml:space="preserve">here is no conflict between </w:t>
      </w:r>
      <w:r w:rsidRPr="00D95E40">
        <w:t>s</w:t>
      </w:r>
      <w:r w:rsidR="00AC6051" w:rsidRPr="00D95E40">
        <w:t>34D(1)(a) and (</w:t>
      </w:r>
      <w:r w:rsidRPr="00D95E40">
        <w:t>b</w:t>
      </w:r>
      <w:r w:rsidR="00AC6051" w:rsidRPr="00D95E40">
        <w:t>), or between these provisions and (</w:t>
      </w:r>
      <w:r w:rsidRPr="00D95E40">
        <w:t>c</w:t>
      </w:r>
      <w:r w:rsidR="00AC6051" w:rsidRPr="00D95E40">
        <w:t>) and (</w:t>
      </w:r>
      <w:r w:rsidRPr="00D95E40">
        <w:t>d</w:t>
      </w:r>
      <w:r w:rsidR="00AC6051" w:rsidRPr="00D95E40">
        <w:t xml:space="preserve">). The provisions have different work to do. While </w:t>
      </w:r>
      <w:r w:rsidRPr="00D95E40">
        <w:t xml:space="preserve">an </w:t>
      </w:r>
      <w:r w:rsidR="00AC6051" w:rsidRPr="00D95E40">
        <w:t>application that does not meet the limitations imposed on the exercise of the power in (</w:t>
      </w:r>
      <w:r w:rsidRPr="00D95E40">
        <w:t>b</w:t>
      </w:r>
      <w:r w:rsidR="00AC6051" w:rsidRPr="00D95E40">
        <w:t xml:space="preserve">) cannot attract the exercise by the Tribunal of that power, the application may nonetheless favourably attract the exercise by the Tribunal of the power in (a) provided of course that the Tribunal after considering all of the relevant considerations is </w:t>
      </w:r>
      <w:r w:rsidR="000349F3">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C6051" w:rsidRPr="00D95E40">
        <w:t>minded to grant the application and exercise the power contained in (a).</w:t>
      </w:r>
    </w:p>
    <w:p w:rsidR="00744B97" w:rsidRPr="00E06961" w:rsidRDefault="00744B97" w:rsidP="00B83ED2">
      <w:pPr>
        <w:pStyle w:val="Heading3"/>
      </w:pPr>
      <w:r w:rsidRPr="00744B97">
        <w:t>Matters to be considered</w:t>
      </w:r>
      <w:r w:rsidR="00FD2DB2">
        <w:t xml:space="preserve"> </w:t>
      </w:r>
    </w:p>
    <w:p w:rsidR="00E07229" w:rsidRDefault="00D01E7F" w:rsidP="000B622A">
      <w:pPr>
        <w:pStyle w:val="Para1"/>
      </w:pPr>
      <w:r>
        <w:t xml:space="preserve">In </w:t>
      </w:r>
      <w:r w:rsidRPr="00E56359">
        <w:rPr>
          <w:i/>
        </w:rPr>
        <w:t>Conroy</w:t>
      </w:r>
      <w:r>
        <w:t xml:space="preserve">, </w:t>
      </w:r>
      <w:r w:rsidR="00E07229">
        <w:t>Garde J</w:t>
      </w:r>
      <w:r w:rsidR="00EE654C">
        <w:t xml:space="preserve"> discussed </w:t>
      </w:r>
      <w:r w:rsidR="00E07229">
        <w:t>the</w:t>
      </w:r>
      <w:r>
        <w:t xml:space="preserve"> matters which the Tribunal should consider in an application </w:t>
      </w:r>
      <w:r w:rsidR="00E07229">
        <w:t>under section 34D(1)(a):</w:t>
      </w:r>
    </w:p>
    <w:p w:rsidR="00E07229" w:rsidRPr="00E56359" w:rsidRDefault="00E07229" w:rsidP="00B83ED2">
      <w:pPr>
        <w:pStyle w:val="Quote1"/>
      </w:pPr>
      <w:r w:rsidRPr="00E56359">
        <w:t>Section 34D(1)(a) of the Act is not subject to any express limitation. There are no express considerations. Nevertheless, guidance can be obtained from the language of s 32 and s 33 as to the considerations that are relevant to an application made under s 34D(1)(a). Section 33(2) states that “the owners corporation must have regard to the value of the lot and the proportion that the value bears to the total value of the lots affected by the owners corporation.” Section 33(3) requires that “[i]n making any changes to the lot liability an</w:t>
      </w:r>
      <w:r w:rsidR="00E56359">
        <w:t xml:space="preserve"> </w:t>
      </w:r>
      <w:r w:rsidRPr="00E56359">
        <w:t xml:space="preserve">owners </w:t>
      </w:r>
      <w:r w:rsidR="00E56359">
        <w:t>c</w:t>
      </w:r>
      <w:r w:rsidRPr="00E56359">
        <w:t>orporation must consider the amount that it would be just and equitable for the owner of the lot to contribute towards the administrative and general expenses of the owners corporation.” These considerations are also significant at the Tribunal level.</w:t>
      </w:r>
    </w:p>
    <w:p w:rsidR="00E07229" w:rsidRDefault="00E07229" w:rsidP="000B622A">
      <w:pPr>
        <w:pStyle w:val="Para1"/>
      </w:pPr>
      <w:r>
        <w:t>Under section 34D(1)(a) an owners corporation can be required to do any of the things which it is authorised to do under section 32 – in the present case, creating a new lot and altering lot entitlements and liabilities.</w:t>
      </w:r>
    </w:p>
    <w:p w:rsidR="00E07229" w:rsidRDefault="00E07229" w:rsidP="000B622A">
      <w:pPr>
        <w:pStyle w:val="Para1"/>
      </w:pPr>
      <w:r>
        <w:t xml:space="preserve">The Act does not, however, set out the matters which the owners corporation must consider when </w:t>
      </w:r>
      <w:r w:rsidR="00E56359">
        <w:t xml:space="preserve">so </w:t>
      </w:r>
      <w:r>
        <w:t>amending a plan of subdivision under section 32. The Tribunal’s power to order an owners corporation to amend its plan of subdivision is subject to section 34D</w:t>
      </w:r>
      <w:r w:rsidR="00E56359">
        <w:t>(</w:t>
      </w:r>
      <w:r>
        <w:t>6)</w:t>
      </w:r>
      <w:r w:rsidR="00E70C66">
        <w:t>,</w:t>
      </w:r>
      <w:r>
        <w:t xml:space="preserve"> which says:</w:t>
      </w:r>
    </w:p>
    <w:p w:rsidR="00E07229" w:rsidRPr="00E56359" w:rsidRDefault="00E56359" w:rsidP="00B83ED2">
      <w:pPr>
        <w:pStyle w:val="Quote1"/>
      </w:pPr>
      <w:r>
        <w:t>S</w:t>
      </w:r>
      <w:r w:rsidR="00E07229" w:rsidRPr="00E56359">
        <w:t>ubject to this section, the Victorian Civil and Administrative Tribunal may make any order it thinks fit on an application under this section.</w:t>
      </w:r>
    </w:p>
    <w:p w:rsidR="00E07229" w:rsidRDefault="00E07229" w:rsidP="000B622A">
      <w:pPr>
        <w:pStyle w:val="Para1"/>
      </w:pPr>
      <w:r>
        <w:t>The effect of section 34</w:t>
      </w:r>
      <w:r w:rsidR="00E56359">
        <w:t>D</w:t>
      </w:r>
      <w:r>
        <w:t xml:space="preserve">(6) was considered by the Tribunal in the matter of </w:t>
      </w:r>
      <w:r w:rsidRPr="00E56359">
        <w:rPr>
          <w:i/>
        </w:rPr>
        <w:t>O’Gorman v Owners Corporation RP 018831</w:t>
      </w:r>
      <w:r>
        <w:t xml:space="preserve"> (Owners Corporations) [2017] VCAT 579, where Member Rowland observed as follows:</w:t>
      </w:r>
    </w:p>
    <w:p w:rsidR="00744B97" w:rsidRPr="00744B97" w:rsidRDefault="00E56359" w:rsidP="00B83ED2">
      <w:pPr>
        <w:pStyle w:val="Quote1"/>
      </w:pPr>
      <w:r w:rsidRPr="00744B97">
        <w:t>I do not consider that the Tribunal’s power to order an owners corporation to do any of the things under</w:t>
      </w:r>
      <w:r w:rsidR="00744B97">
        <w:t xml:space="preserve"> s 32</w:t>
      </w:r>
      <w:r w:rsidRPr="00744B97">
        <w:t xml:space="preserve"> </w:t>
      </w:r>
      <w:r w:rsidRPr="00744B97">
        <w:rPr>
          <w:i/>
        </w:rPr>
        <w:t>Subdivision Act 1988</w:t>
      </w:r>
      <w:r w:rsidRPr="00744B97">
        <w:t xml:space="preserve"> (including altering a plan of subdivision), is at large. In considering an application under s 34D(1)</w:t>
      </w:r>
      <w:r w:rsidR="00744B97">
        <w:t>(</w:t>
      </w:r>
      <w:r w:rsidRPr="00744B97">
        <w:t>a), the Tribunal should approach the application with caution. The Tribunal should not make an order for altering a plan of subdivision l</w:t>
      </w:r>
      <w:r w:rsidR="00744B97" w:rsidRPr="00744B97">
        <w:t>ight</w:t>
      </w:r>
      <w:r w:rsidRPr="00744B97">
        <w:t>ly</w:t>
      </w:r>
      <w:r w:rsidR="00744B97" w:rsidRPr="00744B97">
        <w:t>.</w:t>
      </w:r>
    </w:p>
    <w:p w:rsidR="00744B97" w:rsidRPr="00744B97" w:rsidRDefault="00744B97" w:rsidP="00B83ED2">
      <w:pPr>
        <w:pStyle w:val="Quote1"/>
      </w:pPr>
      <w:r w:rsidRPr="00744B97">
        <w:t xml:space="preserve">The lot owners have a vested interest in the existing plan of subdivision. To change the plan of subdivision may change their rights and obligations. Each plan of subdivision and each application to amend a plan of subdivision will have its own unique set of circumstances. Different considerations will apply in each case. An application to amend an obvious error in a plan of subdivision will involve different considerations to an application where a lot owner seeks to acquire common property. It is for the applicant in each case </w:t>
      </w:r>
      <w:r w:rsidR="000349F3">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44B97">
        <w:t>to establish that the proposal is justified and that the Tribunal should make the required order.</w:t>
      </w:r>
    </w:p>
    <w:p w:rsidR="00E07229" w:rsidRDefault="00744B97" w:rsidP="00B83ED2">
      <w:pPr>
        <w:pStyle w:val="Quote1"/>
      </w:pPr>
      <w:r w:rsidRPr="00744B97">
        <w:t>In the circumstances of this application, I consider that the considerations which applied to an application under s 34D(1)(b) are relevant. It will not always be the case that the considerations under section 34D(1)(b) are relevant in an application under 34D(1)(a). Amending an obvious mistake in a plan of subdivision is an example where the considerations under s 34D(1)(b) might not be applicable. However in circumstances where a lot owner is seeking to acquire common property and amend lot liability such that all of the lot owners are affected in some way, the considerations under s 34D</w:t>
      </w:r>
      <w:r>
        <w:t>(</w:t>
      </w:r>
      <w:r w:rsidRPr="00744B97">
        <w:t>1)(b) are relevant.</w:t>
      </w:r>
    </w:p>
    <w:p w:rsidR="00E07229" w:rsidRDefault="00D01E7F" w:rsidP="000B622A">
      <w:pPr>
        <w:pStyle w:val="Para1"/>
      </w:pPr>
      <w:r>
        <w:t xml:space="preserve">With respect, I agree with the views expressed by Member Rowland. It is clear that the considerations under section 34D(1)(b) are applicable to the owners corporation’s </w:t>
      </w:r>
      <w:r w:rsidR="00EE654C">
        <w:t xml:space="preserve">present </w:t>
      </w:r>
      <w:r>
        <w:t>application under section 34D(1)(a). In view of my findings about the owners corporation’s application under section 34D(1)(b), it necessarily follows that the owners corporation’s application under section 34D(1)(a) also fails. It also follows that the owners corporation’s application for an enabling order under section 34D(1)(c) also fails.</w:t>
      </w:r>
    </w:p>
    <w:p w:rsidR="00153C75" w:rsidRDefault="00153C75"/>
    <w:p w:rsidR="00EE654C" w:rsidRDefault="00EE654C"/>
    <w:p w:rsidR="00EE654C" w:rsidRDefault="00EE654C"/>
    <w:p w:rsidR="00EE654C" w:rsidRDefault="00EE654C"/>
    <w:tbl>
      <w:tblPr>
        <w:tblW w:w="9621" w:type="dxa"/>
        <w:tblLayout w:type="fixed"/>
        <w:tblLook w:val="0000" w:firstRow="0" w:lastRow="0" w:firstColumn="0" w:lastColumn="0" w:noHBand="0" w:noVBand="0"/>
      </w:tblPr>
      <w:tblGrid>
        <w:gridCol w:w="3207"/>
        <w:gridCol w:w="3207"/>
        <w:gridCol w:w="3207"/>
      </w:tblGrid>
      <w:tr w:rsidR="00153C75">
        <w:tc>
          <w:tcPr>
            <w:tcW w:w="3207" w:type="dxa"/>
          </w:tcPr>
          <w:p w:rsidR="00153C75" w:rsidRDefault="00EE654C">
            <w:r>
              <w:t>R. Buchanan</w:t>
            </w:r>
          </w:p>
          <w:p w:rsidR="00153C75" w:rsidRDefault="00153C75">
            <w:pPr>
              <w:rPr>
                <w:b/>
              </w:rPr>
            </w:pPr>
            <w:r>
              <w:rPr>
                <w:b/>
              </w:rPr>
              <w:t>Member</w:t>
            </w:r>
          </w:p>
        </w:tc>
        <w:tc>
          <w:tcPr>
            <w:tcW w:w="3207" w:type="dxa"/>
          </w:tcPr>
          <w:p w:rsidR="00153C75" w:rsidRDefault="00153C75"/>
        </w:tc>
        <w:tc>
          <w:tcPr>
            <w:tcW w:w="3207" w:type="dxa"/>
          </w:tcPr>
          <w:p w:rsidR="00153C75" w:rsidRDefault="00153C75"/>
        </w:tc>
      </w:tr>
    </w:tbl>
    <w:p w:rsidR="00153C75" w:rsidRDefault="00153C75"/>
    <w:sectPr w:rsidR="00153C75">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0DC" w:rsidRDefault="007310DC">
      <w:r>
        <w:separator/>
      </w:r>
    </w:p>
  </w:endnote>
  <w:endnote w:type="continuationSeparator" w:id="0">
    <w:p w:rsidR="007310DC" w:rsidRDefault="0073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EA5BDB">
      <w:trPr>
        <w:cantSplit/>
      </w:trPr>
      <w:tc>
        <w:tcPr>
          <w:tcW w:w="3884" w:type="pct"/>
        </w:tcPr>
        <w:p w:rsidR="00EA5BDB" w:rsidRDefault="00EA5BDB">
          <w:pPr>
            <w:pStyle w:val="Footer"/>
            <w:spacing w:beforeLines="60" w:before="144"/>
            <w:rPr>
              <w:rFonts w:cs="Arial"/>
              <w:sz w:val="18"/>
              <w:szCs w:val="18"/>
            </w:rPr>
          </w:pPr>
          <w:bookmarkStart w:id="23" w:name="FooterDescription"/>
          <w:bookmarkStart w:id="24" w:name="FooterFileNo1"/>
          <w:bookmarkEnd w:id="23"/>
          <w:bookmarkEnd w:id="24"/>
          <w:r>
            <w:rPr>
              <w:rFonts w:cs="Arial"/>
              <w:sz w:val="18"/>
              <w:szCs w:val="18"/>
            </w:rPr>
            <w:t xml:space="preserve">VCAT Reference No. </w:t>
          </w:r>
          <w:r w:rsidR="00F56D0C">
            <w:rPr>
              <w:rFonts w:cs="Arial"/>
              <w:sz w:val="18"/>
              <w:szCs w:val="18"/>
            </w:rPr>
            <w:t>OC1580/2018</w:t>
          </w:r>
        </w:p>
      </w:tc>
      <w:tc>
        <w:tcPr>
          <w:tcW w:w="1116" w:type="pct"/>
        </w:tcPr>
        <w:p w:rsidR="00EA5BDB" w:rsidRDefault="00EA5BDB">
          <w:pPr>
            <w:pStyle w:val="Footer"/>
            <w:spacing w:beforeLines="60" w:before="144"/>
            <w:jc w:val="right"/>
            <w:rPr>
              <w:rFonts w:cs="Arial"/>
              <w:sz w:val="18"/>
              <w:szCs w:val="18"/>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A92300">
            <w:rPr>
              <w:rStyle w:val="PageNumber"/>
              <w:rFonts w:cs="Arial"/>
              <w:noProof/>
              <w:sz w:val="18"/>
              <w:szCs w:val="18"/>
            </w:rPr>
            <w:t>3</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A92300">
            <w:rPr>
              <w:rStyle w:val="PageNumber"/>
              <w:rFonts w:cs="Arial"/>
              <w:noProof/>
              <w:sz w:val="18"/>
              <w:szCs w:val="18"/>
            </w:rPr>
            <w:t>3</w:t>
          </w:r>
          <w:r>
            <w:rPr>
              <w:rStyle w:val="PageNumber"/>
              <w:rFonts w:cs="Arial"/>
              <w:sz w:val="18"/>
              <w:szCs w:val="18"/>
            </w:rPr>
            <w:fldChar w:fldCharType="end"/>
          </w:r>
        </w:p>
      </w:tc>
    </w:tr>
  </w:tbl>
  <w:p w:rsidR="00EA5BDB" w:rsidRDefault="00EA5BDB">
    <w:pPr>
      <w:pStyle w:val="Footer"/>
      <w:rPr>
        <w:sz w:val="2"/>
      </w:rPr>
    </w:pPr>
  </w:p>
  <w:p w:rsidR="00EA5BDB" w:rsidRDefault="00EA5BDB">
    <w:pPr>
      <w:rPr>
        <w:sz w:val="2"/>
      </w:rPr>
    </w:pPr>
  </w:p>
  <w:p w:rsidR="00EA5BDB" w:rsidRDefault="00EA5BD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0DC" w:rsidRDefault="007310DC">
      <w:pPr>
        <w:pStyle w:val="Footer"/>
        <w:pBdr>
          <w:top w:val="single" w:sz="4" w:space="1" w:color="auto"/>
        </w:pBdr>
        <w:rPr>
          <w:sz w:val="12"/>
        </w:rPr>
      </w:pPr>
    </w:p>
  </w:footnote>
  <w:footnote w:type="continuationSeparator" w:id="0">
    <w:p w:rsidR="007310DC" w:rsidRDefault="007310DC">
      <w:r>
        <w:continuationSeparator/>
      </w:r>
    </w:p>
  </w:footnote>
  <w:footnote w:id="1">
    <w:p w:rsidR="00E246AD" w:rsidRDefault="00E246AD">
      <w:pPr>
        <w:pStyle w:val="FootnoteText"/>
      </w:pPr>
      <w:r>
        <w:rPr>
          <w:rStyle w:val="FootnoteReference"/>
        </w:rPr>
        <w:footnoteRef/>
      </w:r>
      <w:r>
        <w:t xml:space="preserve"> Sections 32 and 33.</w:t>
      </w:r>
    </w:p>
  </w:footnote>
  <w:footnote w:id="2">
    <w:p w:rsidR="00722A71" w:rsidRDefault="00722A71">
      <w:pPr>
        <w:pStyle w:val="FootnoteText"/>
      </w:pPr>
      <w:r>
        <w:rPr>
          <w:rStyle w:val="FootnoteReference"/>
        </w:rPr>
        <w:footnoteRef/>
      </w:r>
      <w:r>
        <w:t xml:space="preserve"> Report by Dickson Hearn Pty Ltd, surveyors, tendered by the owners corporation</w:t>
      </w:r>
      <w:r w:rsidR="00B37EA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9C1"/>
    <w:multiLevelType w:val="multilevel"/>
    <w:tmpl w:val="E05CEAF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090ABA"/>
    <w:multiLevelType w:val="hybridMultilevel"/>
    <w:tmpl w:val="851646EC"/>
    <w:lvl w:ilvl="0" w:tplc="17404CB2">
      <w:start w:val="1"/>
      <w:numFmt w:val="lowerLetter"/>
      <w:lvlText w:val="(%1)"/>
      <w:lvlJc w:val="left"/>
      <w:pPr>
        <w:tabs>
          <w:tab w:val="num" w:pos="567"/>
        </w:tabs>
        <w:ind w:left="567" w:hanging="567"/>
      </w:pPr>
      <w:rPr>
        <w:rFonts w:hint="default"/>
      </w:rPr>
    </w:lvl>
    <w:lvl w:ilvl="1" w:tplc="17404CB2">
      <w:start w:val="1"/>
      <w:numFmt w:val="lowerLetter"/>
      <w:lvlText w:val="(%2)"/>
      <w:lvlJc w:val="left"/>
      <w:pPr>
        <w:tabs>
          <w:tab w:val="num" w:pos="1106"/>
        </w:tabs>
        <w:ind w:left="1106" w:hanging="539"/>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74282"/>
    <w:multiLevelType w:val="multilevel"/>
    <w:tmpl w:val="81B0A810"/>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81283"/>
    <w:multiLevelType w:val="hybridMultilevel"/>
    <w:tmpl w:val="C3BA4694"/>
    <w:lvl w:ilvl="0" w:tplc="6D527BE2">
      <w:start w:val="1"/>
      <w:numFmt w:val="decimal"/>
      <w:pStyle w:val="Para1"/>
      <w:lvlText w:val="%1"/>
      <w:lvlJc w:val="left"/>
      <w:pPr>
        <w:tabs>
          <w:tab w:val="num" w:pos="567"/>
        </w:tabs>
        <w:ind w:left="567" w:hanging="567"/>
      </w:pPr>
      <w:rPr>
        <w:rFonts w:hint="default"/>
      </w:rPr>
    </w:lvl>
    <w:lvl w:ilvl="1" w:tplc="17404CB2">
      <w:start w:val="1"/>
      <w:numFmt w:val="lowerLetter"/>
      <w:lvlText w:val="(%2)"/>
      <w:lvlJc w:val="left"/>
      <w:pPr>
        <w:tabs>
          <w:tab w:val="num" w:pos="1106"/>
        </w:tabs>
        <w:ind w:left="1106" w:hanging="539"/>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65724"/>
    <w:multiLevelType w:val="hybridMultilevel"/>
    <w:tmpl w:val="83FE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22D26"/>
    <w:multiLevelType w:val="hybridMultilevel"/>
    <w:tmpl w:val="B038DA90"/>
    <w:lvl w:ilvl="0" w:tplc="17404CB2">
      <w:start w:val="1"/>
      <w:numFmt w:val="lowerLetter"/>
      <w:lvlText w:val="(%1)"/>
      <w:lvlJc w:val="left"/>
      <w:pPr>
        <w:tabs>
          <w:tab w:val="num" w:pos="567"/>
        </w:tabs>
        <w:ind w:left="567" w:hanging="567"/>
      </w:pPr>
      <w:rPr>
        <w:rFonts w:hint="default"/>
      </w:rPr>
    </w:lvl>
    <w:lvl w:ilvl="1" w:tplc="17404CB2">
      <w:start w:val="1"/>
      <w:numFmt w:val="lowerLetter"/>
      <w:lvlText w:val="(%2)"/>
      <w:lvlJc w:val="left"/>
      <w:pPr>
        <w:tabs>
          <w:tab w:val="num" w:pos="1106"/>
        </w:tabs>
        <w:ind w:left="1106" w:hanging="539"/>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633A84"/>
    <w:multiLevelType w:val="multilevel"/>
    <w:tmpl w:val="92D230A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E06E8C"/>
    <w:multiLevelType w:val="multilevel"/>
    <w:tmpl w:val="3A8A4D44"/>
    <w:lvl w:ilvl="0">
      <w:start w:val="1"/>
      <w:numFmt w:val="bullet"/>
      <w:lvlText w:val=""/>
      <w:lvlJc w:val="left"/>
      <w:pPr>
        <w:tabs>
          <w:tab w:val="num" w:pos="1134"/>
        </w:tabs>
        <w:ind w:left="1134"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F45A6C"/>
    <w:multiLevelType w:val="multilevel"/>
    <w:tmpl w:val="7F5083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87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6D1F26"/>
    <w:multiLevelType w:val="multilevel"/>
    <w:tmpl w:val="C9369B1C"/>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E56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176C7"/>
    <w:multiLevelType w:val="multilevel"/>
    <w:tmpl w:val="B2EE09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4826DE"/>
    <w:multiLevelType w:val="multilevel"/>
    <w:tmpl w:val="0AC2157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bullet"/>
      <w:lvlText w:val=""/>
      <w:lvlJc w:val="left"/>
      <w:pPr>
        <w:tabs>
          <w:tab w:val="num" w:pos="1928"/>
        </w:tabs>
        <w:ind w:left="1928" w:hanging="39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D95FB5"/>
    <w:multiLevelType w:val="multilevel"/>
    <w:tmpl w:val="3B98C0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F8A777A"/>
    <w:multiLevelType w:val="multilevel"/>
    <w:tmpl w:val="4DF41220"/>
    <w:lvl w:ilvl="0">
      <w:start w:val="1"/>
      <w:numFmt w:val="low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6"/>
  </w:num>
  <w:num w:numId="4">
    <w:abstractNumId w:val="8"/>
  </w:num>
  <w:num w:numId="5">
    <w:abstractNumId w:val="21"/>
  </w:num>
  <w:num w:numId="6">
    <w:abstractNumId w:val="15"/>
  </w:num>
  <w:num w:numId="7">
    <w:abstractNumId w:val="15"/>
  </w:num>
  <w:num w:numId="8">
    <w:abstractNumId w:val="11"/>
  </w:num>
  <w:num w:numId="9">
    <w:abstractNumId w:val="7"/>
  </w:num>
  <w:num w:numId="10">
    <w:abstractNumId w:val="19"/>
  </w:num>
  <w:num w:numId="11">
    <w:abstractNumId w:val="3"/>
  </w:num>
  <w:num w:numId="12">
    <w:abstractNumId w:val="20"/>
  </w:num>
  <w:num w:numId="13">
    <w:abstractNumId w:val="9"/>
  </w:num>
  <w:num w:numId="14">
    <w:abstractNumId w:val="14"/>
  </w:num>
  <w:num w:numId="15">
    <w:abstractNumId w:val="17"/>
  </w:num>
  <w:num w:numId="16">
    <w:abstractNumId w:val="13"/>
  </w:num>
  <w:num w:numId="17">
    <w:abstractNumId w:val="2"/>
  </w:num>
  <w:num w:numId="18">
    <w:abstractNumId w:val="22"/>
  </w:num>
  <w:num w:numId="19">
    <w:abstractNumId w:val="0"/>
  </w:num>
  <w:num w:numId="20">
    <w:abstractNumId w:val="10"/>
  </w:num>
  <w:num w:numId="21">
    <w:abstractNumId w:val="18"/>
  </w:num>
  <w:num w:numId="22">
    <w:abstractNumId w:val="3"/>
  </w:num>
  <w:num w:numId="23">
    <w:abstractNumId w:val="3"/>
  </w:num>
  <w:num w:numId="24">
    <w:abstractNumId w:val="3"/>
  </w:num>
  <w:num w:numId="25">
    <w:abstractNumId w:val="3"/>
  </w:num>
  <w:num w:numId="26">
    <w:abstractNumId w:val="3"/>
  </w:num>
  <w:num w:numId="27">
    <w:abstractNumId w:val="4"/>
  </w:num>
  <w:num w:numId="28">
    <w:abstractNumId w:val="1"/>
  </w:num>
  <w:num w:numId="29">
    <w:abstractNumId w:val="3"/>
  </w:num>
  <w:num w:numId="30">
    <w:abstractNumId w:val="3"/>
  </w:num>
  <w:num w:numId="31">
    <w:abstractNumId w:val="3"/>
  </w:num>
  <w:num w:numId="32">
    <w:abstractNumId w:val="5"/>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Jmcl9E2Y1meWinCjfOpGgcgst30G6EKRjKoprnoQPPCz4IZTj40bTmIHHHaC98ZYaRKvcGCt2ALkVl9xZKkFQ==" w:salt="evqiinqagaJwu0NWYp8W0Q=="/>
  <w:defaultTabStop w:val="28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CCBE69-BD33-42BC-A414-17502A36A24B}"/>
    <w:docVar w:name="dgnword-eventsink" w:val="311354520"/>
    <w:docVar w:name="VCAT Seal" w:val="True"/>
  </w:docVars>
  <w:rsids>
    <w:rsidRoot w:val="007E0EB4"/>
    <w:rsid w:val="00012ED0"/>
    <w:rsid w:val="00020E2B"/>
    <w:rsid w:val="000349F3"/>
    <w:rsid w:val="000556DC"/>
    <w:rsid w:val="00082D5C"/>
    <w:rsid w:val="0008337A"/>
    <w:rsid w:val="000B622A"/>
    <w:rsid w:val="000D496C"/>
    <w:rsid w:val="00113345"/>
    <w:rsid w:val="0013024A"/>
    <w:rsid w:val="001510B4"/>
    <w:rsid w:val="00153C75"/>
    <w:rsid w:val="001741B0"/>
    <w:rsid w:val="001B0148"/>
    <w:rsid w:val="00207697"/>
    <w:rsid w:val="002235E0"/>
    <w:rsid w:val="0022798C"/>
    <w:rsid w:val="0023309F"/>
    <w:rsid w:val="00265913"/>
    <w:rsid w:val="002B6740"/>
    <w:rsid w:val="002C5E3E"/>
    <w:rsid w:val="002C7CBA"/>
    <w:rsid w:val="002F2BE7"/>
    <w:rsid w:val="00342813"/>
    <w:rsid w:val="00365726"/>
    <w:rsid w:val="00372497"/>
    <w:rsid w:val="00391FC7"/>
    <w:rsid w:val="00393D17"/>
    <w:rsid w:val="003961D7"/>
    <w:rsid w:val="003B1200"/>
    <w:rsid w:val="003B71AB"/>
    <w:rsid w:val="003D281D"/>
    <w:rsid w:val="004021E0"/>
    <w:rsid w:val="00485CE3"/>
    <w:rsid w:val="004B521A"/>
    <w:rsid w:val="005144DE"/>
    <w:rsid w:val="00526D10"/>
    <w:rsid w:val="005E60A8"/>
    <w:rsid w:val="006257BB"/>
    <w:rsid w:val="00642708"/>
    <w:rsid w:val="006429E6"/>
    <w:rsid w:val="00671EDC"/>
    <w:rsid w:val="0069434F"/>
    <w:rsid w:val="006D4E2B"/>
    <w:rsid w:val="007044D9"/>
    <w:rsid w:val="00722A71"/>
    <w:rsid w:val="00730394"/>
    <w:rsid w:val="007310DC"/>
    <w:rsid w:val="00744B97"/>
    <w:rsid w:val="007662BE"/>
    <w:rsid w:val="00772310"/>
    <w:rsid w:val="007A114B"/>
    <w:rsid w:val="007A329D"/>
    <w:rsid w:val="007B2639"/>
    <w:rsid w:val="007B725C"/>
    <w:rsid w:val="007E0EB4"/>
    <w:rsid w:val="0081656D"/>
    <w:rsid w:val="00830258"/>
    <w:rsid w:val="00854B51"/>
    <w:rsid w:val="008C021D"/>
    <w:rsid w:val="009B7B55"/>
    <w:rsid w:val="009C6FB1"/>
    <w:rsid w:val="009D05E2"/>
    <w:rsid w:val="009D4EDF"/>
    <w:rsid w:val="00A17869"/>
    <w:rsid w:val="00A23691"/>
    <w:rsid w:val="00A45005"/>
    <w:rsid w:val="00A50272"/>
    <w:rsid w:val="00A92300"/>
    <w:rsid w:val="00AB670A"/>
    <w:rsid w:val="00AC3170"/>
    <w:rsid w:val="00AC40FE"/>
    <w:rsid w:val="00AC6051"/>
    <w:rsid w:val="00B37EA6"/>
    <w:rsid w:val="00B40D8C"/>
    <w:rsid w:val="00B442B9"/>
    <w:rsid w:val="00B77500"/>
    <w:rsid w:val="00B83ED2"/>
    <w:rsid w:val="00B8634B"/>
    <w:rsid w:val="00B9544B"/>
    <w:rsid w:val="00BB0DBF"/>
    <w:rsid w:val="00BC44FF"/>
    <w:rsid w:val="00BF157E"/>
    <w:rsid w:val="00BF770E"/>
    <w:rsid w:val="00C16E65"/>
    <w:rsid w:val="00C26904"/>
    <w:rsid w:val="00C727E8"/>
    <w:rsid w:val="00CB25E7"/>
    <w:rsid w:val="00CE3B68"/>
    <w:rsid w:val="00D01E7F"/>
    <w:rsid w:val="00D12C78"/>
    <w:rsid w:val="00D12FE3"/>
    <w:rsid w:val="00D14535"/>
    <w:rsid w:val="00D5221A"/>
    <w:rsid w:val="00D6293E"/>
    <w:rsid w:val="00D95E40"/>
    <w:rsid w:val="00DD757E"/>
    <w:rsid w:val="00DE2E1D"/>
    <w:rsid w:val="00E06961"/>
    <w:rsid w:val="00E07229"/>
    <w:rsid w:val="00E246AD"/>
    <w:rsid w:val="00E47FC6"/>
    <w:rsid w:val="00E56359"/>
    <w:rsid w:val="00E6378F"/>
    <w:rsid w:val="00E70C66"/>
    <w:rsid w:val="00E72C9C"/>
    <w:rsid w:val="00E93A48"/>
    <w:rsid w:val="00EA5BDB"/>
    <w:rsid w:val="00EC19EE"/>
    <w:rsid w:val="00EE654C"/>
    <w:rsid w:val="00EE7A77"/>
    <w:rsid w:val="00F17AE0"/>
    <w:rsid w:val="00F56D0C"/>
    <w:rsid w:val="00F967A3"/>
    <w:rsid w:val="00FD2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BAD37858-C337-4445-AB7F-B954BABF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qFormat/>
    <w:pPr>
      <w:keepNext/>
      <w:spacing w:before="240" w:after="120"/>
      <w:jc w:val="center"/>
      <w:outlineLvl w:val="0"/>
    </w:pPr>
    <w:rPr>
      <w:rFonts w:ascii="Arial" w:hAnsi="Arial"/>
      <w:b/>
      <w:bCs/>
      <w:caps/>
      <w:sz w:val="24"/>
      <w:szCs w:val="24"/>
    </w:rPr>
  </w:style>
  <w:style w:type="paragraph" w:styleId="Heading2">
    <w:name w:val="heading 2"/>
    <w:basedOn w:val="Heading1"/>
    <w:next w:val="Para1"/>
    <w:qFormat/>
    <w:pPr>
      <w:jc w:val="left"/>
      <w:outlineLvl w:val="1"/>
    </w:pPr>
    <w:rPr>
      <w:bCs w:val="0"/>
      <w:iCs/>
    </w:rPr>
  </w:style>
  <w:style w:type="paragraph" w:styleId="Heading3">
    <w:name w:val="heading 3"/>
    <w:basedOn w:val="Heading2"/>
    <w:next w:val="Para1"/>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pPr>
      <w:numPr>
        <w:numId w:val="11"/>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pPr>
      <w:numPr>
        <w:numId w:val="16"/>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pPr>
      <w:spacing w:after="120"/>
    </w:pPr>
  </w:style>
  <w:style w:type="paragraph" w:customStyle="1" w:styleId="Order2">
    <w:name w:val="Order 2"/>
    <w:basedOn w:val="Order1"/>
    <w:pPr>
      <w:numPr>
        <w:numId w:val="7"/>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9"/>
      </w:numPr>
    </w:pPr>
  </w:style>
  <w:style w:type="paragraph" w:styleId="BalloonText">
    <w:name w:val="Balloon Text"/>
    <w:basedOn w:val="Normal"/>
    <w:link w:val="BalloonTextChar"/>
    <w:rsid w:val="00BC44FF"/>
    <w:rPr>
      <w:rFonts w:ascii="Tahoma" w:hAnsi="Tahoma" w:cs="Tahoma"/>
      <w:sz w:val="16"/>
      <w:szCs w:val="16"/>
    </w:rPr>
  </w:style>
  <w:style w:type="paragraph" w:customStyle="1" w:styleId="Quote3">
    <w:name w:val="Quote 3"/>
    <w:basedOn w:val="Quote2"/>
    <w:pPr>
      <w:numPr>
        <w:numId w:val="18"/>
      </w:numPr>
    </w:pPr>
  </w:style>
  <w:style w:type="paragraph" w:customStyle="1" w:styleId="TitlePage3">
    <w:name w:val="Title Page 3"/>
    <w:basedOn w:val="TitlePage2"/>
    <w:pPr>
      <w:spacing w:before="20" w:after="0"/>
      <w:jc w:val="right"/>
    </w:pPr>
    <w:rPr>
      <w:b w:val="0"/>
      <w:sz w:val="16"/>
    </w:rPr>
  </w:style>
  <w:style w:type="character" w:customStyle="1" w:styleId="BalloonTextChar">
    <w:name w:val="Balloon Text Char"/>
    <w:link w:val="BalloonText"/>
    <w:rsid w:val="00BC44FF"/>
    <w:rPr>
      <w:rFonts w:ascii="Tahoma" w:hAnsi="Tahoma" w:cs="Tahoma"/>
      <w:sz w:val="16"/>
      <w:szCs w:val="16"/>
      <w:lang w:val="en-AU" w:eastAsia="en-US"/>
    </w:rPr>
  </w:style>
  <w:style w:type="paragraph" w:customStyle="1" w:styleId="DraftHeading1">
    <w:name w:val="Draft Heading 1"/>
    <w:basedOn w:val="Normal"/>
    <w:next w:val="Normal"/>
    <w:rsid w:val="00D6293E"/>
    <w:pPr>
      <w:overflowPunct w:val="0"/>
      <w:autoSpaceDE w:val="0"/>
      <w:autoSpaceDN w:val="0"/>
      <w:adjustRightInd w:val="0"/>
      <w:spacing w:before="120"/>
      <w:outlineLvl w:val="2"/>
    </w:pPr>
    <w:rPr>
      <w:b/>
      <w:sz w:val="24"/>
      <w:szCs w:val="20"/>
    </w:rPr>
  </w:style>
  <w:style w:type="paragraph" w:customStyle="1" w:styleId="DraftHeading2">
    <w:name w:val="Draft Heading 2"/>
    <w:basedOn w:val="Normal"/>
    <w:next w:val="Normal"/>
    <w:rsid w:val="00D6293E"/>
    <w:pPr>
      <w:overflowPunct w:val="0"/>
      <w:autoSpaceDE w:val="0"/>
      <w:autoSpaceDN w:val="0"/>
      <w:adjustRightInd w:val="0"/>
      <w:spacing w:before="120"/>
    </w:pPr>
    <w:rPr>
      <w:sz w:val="24"/>
      <w:szCs w:val="20"/>
    </w:rPr>
  </w:style>
  <w:style w:type="paragraph" w:customStyle="1" w:styleId="DraftHeading3">
    <w:name w:val="Draft Heading 3"/>
    <w:basedOn w:val="Normal"/>
    <w:next w:val="Normal"/>
    <w:rsid w:val="00D6293E"/>
    <w:pPr>
      <w:overflowPunct w:val="0"/>
      <w:autoSpaceDE w:val="0"/>
      <w:autoSpaceDN w:val="0"/>
      <w:adjustRightInd w:val="0"/>
      <w:spacing w:before="120"/>
    </w:pPr>
    <w:rPr>
      <w:sz w:val="24"/>
      <w:szCs w:val="20"/>
    </w:rPr>
  </w:style>
  <w:style w:type="paragraph" w:customStyle="1" w:styleId="DraftHeading4">
    <w:name w:val="Draft Heading 4"/>
    <w:basedOn w:val="Normal"/>
    <w:next w:val="Normal"/>
    <w:rsid w:val="00D6293E"/>
    <w:pPr>
      <w:overflowPunct w:val="0"/>
      <w:autoSpaceDE w:val="0"/>
      <w:autoSpaceDN w:val="0"/>
      <w:adjustRightInd w:val="0"/>
      <w:spacing w:before="12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02709">
      <w:bodyDiv w:val="1"/>
      <w:marLeft w:val="0"/>
      <w:marRight w:val="0"/>
      <w:marTop w:val="0"/>
      <w:marBottom w:val="0"/>
      <w:divBdr>
        <w:top w:val="none" w:sz="0" w:space="0" w:color="auto"/>
        <w:left w:val="none" w:sz="0" w:space="0" w:color="auto"/>
        <w:bottom w:val="none" w:sz="0" w:space="0" w:color="auto"/>
        <w:right w:val="none" w:sz="0" w:space="0" w:color="auto"/>
      </w:divBdr>
      <w:divsChild>
        <w:div w:id="124668213">
          <w:marLeft w:val="0"/>
          <w:marRight w:val="0"/>
          <w:marTop w:val="0"/>
          <w:marBottom w:val="0"/>
          <w:divBdr>
            <w:top w:val="none" w:sz="0" w:space="0" w:color="auto"/>
            <w:left w:val="none" w:sz="0" w:space="0" w:color="auto"/>
            <w:bottom w:val="none" w:sz="0" w:space="0" w:color="auto"/>
            <w:right w:val="none" w:sz="0" w:space="0" w:color="auto"/>
          </w:divBdr>
        </w:div>
        <w:div w:id="198130429">
          <w:marLeft w:val="0"/>
          <w:marRight w:val="0"/>
          <w:marTop w:val="0"/>
          <w:marBottom w:val="0"/>
          <w:divBdr>
            <w:top w:val="none" w:sz="0" w:space="0" w:color="auto"/>
            <w:left w:val="none" w:sz="0" w:space="0" w:color="auto"/>
            <w:bottom w:val="none" w:sz="0" w:space="0" w:color="auto"/>
            <w:right w:val="none" w:sz="0" w:space="0" w:color="auto"/>
          </w:divBdr>
        </w:div>
        <w:div w:id="231358370">
          <w:marLeft w:val="0"/>
          <w:marRight w:val="0"/>
          <w:marTop w:val="0"/>
          <w:marBottom w:val="0"/>
          <w:divBdr>
            <w:top w:val="none" w:sz="0" w:space="0" w:color="auto"/>
            <w:left w:val="none" w:sz="0" w:space="0" w:color="auto"/>
            <w:bottom w:val="none" w:sz="0" w:space="0" w:color="auto"/>
            <w:right w:val="none" w:sz="0" w:space="0" w:color="auto"/>
          </w:divBdr>
        </w:div>
        <w:div w:id="360588895">
          <w:marLeft w:val="0"/>
          <w:marRight w:val="0"/>
          <w:marTop w:val="0"/>
          <w:marBottom w:val="0"/>
          <w:divBdr>
            <w:top w:val="none" w:sz="0" w:space="0" w:color="auto"/>
            <w:left w:val="none" w:sz="0" w:space="0" w:color="auto"/>
            <w:bottom w:val="none" w:sz="0" w:space="0" w:color="auto"/>
            <w:right w:val="none" w:sz="0" w:space="0" w:color="auto"/>
          </w:divBdr>
        </w:div>
        <w:div w:id="541940924">
          <w:marLeft w:val="0"/>
          <w:marRight w:val="0"/>
          <w:marTop w:val="0"/>
          <w:marBottom w:val="0"/>
          <w:divBdr>
            <w:top w:val="none" w:sz="0" w:space="0" w:color="auto"/>
            <w:left w:val="none" w:sz="0" w:space="0" w:color="auto"/>
            <w:bottom w:val="none" w:sz="0" w:space="0" w:color="auto"/>
            <w:right w:val="none" w:sz="0" w:space="0" w:color="auto"/>
          </w:divBdr>
        </w:div>
        <w:div w:id="594943208">
          <w:marLeft w:val="0"/>
          <w:marRight w:val="0"/>
          <w:marTop w:val="0"/>
          <w:marBottom w:val="0"/>
          <w:divBdr>
            <w:top w:val="none" w:sz="0" w:space="0" w:color="auto"/>
            <w:left w:val="none" w:sz="0" w:space="0" w:color="auto"/>
            <w:bottom w:val="none" w:sz="0" w:space="0" w:color="auto"/>
            <w:right w:val="none" w:sz="0" w:space="0" w:color="auto"/>
          </w:divBdr>
        </w:div>
        <w:div w:id="883755293">
          <w:marLeft w:val="0"/>
          <w:marRight w:val="0"/>
          <w:marTop w:val="0"/>
          <w:marBottom w:val="0"/>
          <w:divBdr>
            <w:top w:val="none" w:sz="0" w:space="0" w:color="auto"/>
            <w:left w:val="none" w:sz="0" w:space="0" w:color="auto"/>
            <w:bottom w:val="none" w:sz="0" w:space="0" w:color="auto"/>
            <w:right w:val="none" w:sz="0" w:space="0" w:color="auto"/>
          </w:divBdr>
        </w:div>
        <w:div w:id="1232037101">
          <w:marLeft w:val="0"/>
          <w:marRight w:val="0"/>
          <w:marTop w:val="0"/>
          <w:marBottom w:val="0"/>
          <w:divBdr>
            <w:top w:val="none" w:sz="0" w:space="0" w:color="auto"/>
            <w:left w:val="none" w:sz="0" w:space="0" w:color="auto"/>
            <w:bottom w:val="none" w:sz="0" w:space="0" w:color="auto"/>
            <w:right w:val="none" w:sz="0" w:space="0" w:color="auto"/>
          </w:divBdr>
        </w:div>
      </w:divsChild>
    </w:div>
    <w:div w:id="808787164">
      <w:bodyDiv w:val="1"/>
      <w:marLeft w:val="0"/>
      <w:marRight w:val="0"/>
      <w:marTop w:val="0"/>
      <w:marBottom w:val="0"/>
      <w:divBdr>
        <w:top w:val="none" w:sz="0" w:space="0" w:color="auto"/>
        <w:left w:val="none" w:sz="0" w:space="0" w:color="auto"/>
        <w:bottom w:val="none" w:sz="0" w:space="0" w:color="auto"/>
        <w:right w:val="none" w:sz="0" w:space="0" w:color="auto"/>
      </w:divBdr>
      <w:divsChild>
        <w:div w:id="159542092">
          <w:marLeft w:val="0"/>
          <w:marRight w:val="0"/>
          <w:marTop w:val="0"/>
          <w:marBottom w:val="0"/>
          <w:divBdr>
            <w:top w:val="none" w:sz="0" w:space="0" w:color="auto"/>
            <w:left w:val="none" w:sz="0" w:space="0" w:color="auto"/>
            <w:bottom w:val="none" w:sz="0" w:space="0" w:color="auto"/>
            <w:right w:val="none" w:sz="0" w:space="0" w:color="auto"/>
          </w:divBdr>
        </w:div>
        <w:div w:id="215439026">
          <w:marLeft w:val="0"/>
          <w:marRight w:val="0"/>
          <w:marTop w:val="0"/>
          <w:marBottom w:val="0"/>
          <w:divBdr>
            <w:top w:val="none" w:sz="0" w:space="0" w:color="auto"/>
            <w:left w:val="none" w:sz="0" w:space="0" w:color="auto"/>
            <w:bottom w:val="none" w:sz="0" w:space="0" w:color="auto"/>
            <w:right w:val="none" w:sz="0" w:space="0" w:color="auto"/>
          </w:divBdr>
        </w:div>
        <w:div w:id="501627131">
          <w:marLeft w:val="0"/>
          <w:marRight w:val="0"/>
          <w:marTop w:val="0"/>
          <w:marBottom w:val="0"/>
          <w:divBdr>
            <w:top w:val="none" w:sz="0" w:space="0" w:color="auto"/>
            <w:left w:val="none" w:sz="0" w:space="0" w:color="auto"/>
            <w:bottom w:val="none" w:sz="0" w:space="0" w:color="auto"/>
            <w:right w:val="none" w:sz="0" w:space="0" w:color="auto"/>
          </w:divBdr>
        </w:div>
        <w:div w:id="614559480">
          <w:marLeft w:val="0"/>
          <w:marRight w:val="0"/>
          <w:marTop w:val="0"/>
          <w:marBottom w:val="0"/>
          <w:divBdr>
            <w:top w:val="none" w:sz="0" w:space="0" w:color="auto"/>
            <w:left w:val="none" w:sz="0" w:space="0" w:color="auto"/>
            <w:bottom w:val="none" w:sz="0" w:space="0" w:color="auto"/>
            <w:right w:val="none" w:sz="0" w:space="0" w:color="auto"/>
          </w:divBdr>
        </w:div>
        <w:div w:id="857156749">
          <w:marLeft w:val="0"/>
          <w:marRight w:val="0"/>
          <w:marTop w:val="0"/>
          <w:marBottom w:val="0"/>
          <w:divBdr>
            <w:top w:val="none" w:sz="0" w:space="0" w:color="auto"/>
            <w:left w:val="none" w:sz="0" w:space="0" w:color="auto"/>
            <w:bottom w:val="none" w:sz="0" w:space="0" w:color="auto"/>
            <w:right w:val="none" w:sz="0" w:space="0" w:color="auto"/>
          </w:divBdr>
        </w:div>
        <w:div w:id="982853807">
          <w:marLeft w:val="0"/>
          <w:marRight w:val="0"/>
          <w:marTop w:val="0"/>
          <w:marBottom w:val="0"/>
          <w:divBdr>
            <w:top w:val="none" w:sz="0" w:space="0" w:color="auto"/>
            <w:left w:val="none" w:sz="0" w:space="0" w:color="auto"/>
            <w:bottom w:val="none" w:sz="0" w:space="0" w:color="auto"/>
            <w:right w:val="none" w:sz="0" w:space="0" w:color="auto"/>
          </w:divBdr>
        </w:div>
        <w:div w:id="1141656673">
          <w:marLeft w:val="0"/>
          <w:marRight w:val="0"/>
          <w:marTop w:val="0"/>
          <w:marBottom w:val="0"/>
          <w:divBdr>
            <w:top w:val="none" w:sz="0" w:space="0" w:color="auto"/>
            <w:left w:val="none" w:sz="0" w:space="0" w:color="auto"/>
            <w:bottom w:val="none" w:sz="0" w:space="0" w:color="auto"/>
            <w:right w:val="none" w:sz="0" w:space="0" w:color="auto"/>
          </w:divBdr>
        </w:div>
        <w:div w:id="1395548699">
          <w:marLeft w:val="0"/>
          <w:marRight w:val="0"/>
          <w:marTop w:val="0"/>
          <w:marBottom w:val="0"/>
          <w:divBdr>
            <w:top w:val="none" w:sz="0" w:space="0" w:color="auto"/>
            <w:left w:val="none" w:sz="0" w:space="0" w:color="auto"/>
            <w:bottom w:val="none" w:sz="0" w:space="0" w:color="auto"/>
            <w:right w:val="none" w:sz="0" w:space="0" w:color="auto"/>
          </w:divBdr>
        </w:div>
        <w:div w:id="1425691817">
          <w:marLeft w:val="0"/>
          <w:marRight w:val="0"/>
          <w:marTop w:val="0"/>
          <w:marBottom w:val="0"/>
          <w:divBdr>
            <w:top w:val="none" w:sz="0" w:space="0" w:color="auto"/>
            <w:left w:val="none" w:sz="0" w:space="0" w:color="auto"/>
            <w:bottom w:val="none" w:sz="0" w:space="0" w:color="auto"/>
            <w:right w:val="none" w:sz="0" w:space="0" w:color="auto"/>
          </w:divBdr>
        </w:div>
        <w:div w:id="1619992496">
          <w:marLeft w:val="0"/>
          <w:marRight w:val="0"/>
          <w:marTop w:val="0"/>
          <w:marBottom w:val="0"/>
          <w:divBdr>
            <w:top w:val="none" w:sz="0" w:space="0" w:color="auto"/>
            <w:left w:val="none" w:sz="0" w:space="0" w:color="auto"/>
            <w:bottom w:val="none" w:sz="0" w:space="0" w:color="auto"/>
            <w:right w:val="none" w:sz="0" w:space="0" w:color="auto"/>
          </w:divBdr>
        </w:div>
        <w:div w:id="1782992273">
          <w:marLeft w:val="0"/>
          <w:marRight w:val="0"/>
          <w:marTop w:val="0"/>
          <w:marBottom w:val="0"/>
          <w:divBdr>
            <w:top w:val="none" w:sz="0" w:space="0" w:color="auto"/>
            <w:left w:val="none" w:sz="0" w:space="0" w:color="auto"/>
            <w:bottom w:val="none" w:sz="0" w:space="0" w:color="auto"/>
            <w:right w:val="none" w:sz="0" w:space="0" w:color="auto"/>
          </w:divBdr>
        </w:div>
      </w:divsChild>
    </w:div>
    <w:div w:id="1020594255">
      <w:bodyDiv w:val="1"/>
      <w:marLeft w:val="0"/>
      <w:marRight w:val="0"/>
      <w:marTop w:val="0"/>
      <w:marBottom w:val="0"/>
      <w:divBdr>
        <w:top w:val="none" w:sz="0" w:space="0" w:color="auto"/>
        <w:left w:val="none" w:sz="0" w:space="0" w:color="auto"/>
        <w:bottom w:val="none" w:sz="0" w:space="0" w:color="auto"/>
        <w:right w:val="none" w:sz="0" w:space="0" w:color="auto"/>
      </w:divBdr>
    </w:div>
    <w:div w:id="1073620931">
      <w:bodyDiv w:val="1"/>
      <w:marLeft w:val="0"/>
      <w:marRight w:val="0"/>
      <w:marTop w:val="0"/>
      <w:marBottom w:val="0"/>
      <w:divBdr>
        <w:top w:val="none" w:sz="0" w:space="0" w:color="auto"/>
        <w:left w:val="none" w:sz="0" w:space="0" w:color="auto"/>
        <w:bottom w:val="none" w:sz="0" w:space="0" w:color="auto"/>
        <w:right w:val="none" w:sz="0" w:space="0" w:color="auto"/>
      </w:divBdr>
      <w:divsChild>
        <w:div w:id="36441872">
          <w:marLeft w:val="0"/>
          <w:marRight w:val="0"/>
          <w:marTop w:val="0"/>
          <w:marBottom w:val="0"/>
          <w:divBdr>
            <w:top w:val="none" w:sz="0" w:space="0" w:color="auto"/>
            <w:left w:val="none" w:sz="0" w:space="0" w:color="auto"/>
            <w:bottom w:val="none" w:sz="0" w:space="0" w:color="auto"/>
            <w:right w:val="none" w:sz="0" w:space="0" w:color="auto"/>
          </w:divBdr>
        </w:div>
        <w:div w:id="768504286">
          <w:marLeft w:val="0"/>
          <w:marRight w:val="0"/>
          <w:marTop w:val="0"/>
          <w:marBottom w:val="0"/>
          <w:divBdr>
            <w:top w:val="none" w:sz="0" w:space="0" w:color="auto"/>
            <w:left w:val="none" w:sz="0" w:space="0" w:color="auto"/>
            <w:bottom w:val="none" w:sz="0" w:space="0" w:color="auto"/>
            <w:right w:val="none" w:sz="0" w:space="0" w:color="auto"/>
          </w:divBdr>
        </w:div>
        <w:div w:id="1048187852">
          <w:marLeft w:val="0"/>
          <w:marRight w:val="0"/>
          <w:marTop w:val="0"/>
          <w:marBottom w:val="0"/>
          <w:divBdr>
            <w:top w:val="none" w:sz="0" w:space="0" w:color="auto"/>
            <w:left w:val="none" w:sz="0" w:space="0" w:color="auto"/>
            <w:bottom w:val="none" w:sz="0" w:space="0" w:color="auto"/>
            <w:right w:val="none" w:sz="0" w:space="0" w:color="auto"/>
          </w:divBdr>
        </w:div>
        <w:div w:id="1483081947">
          <w:marLeft w:val="0"/>
          <w:marRight w:val="0"/>
          <w:marTop w:val="0"/>
          <w:marBottom w:val="0"/>
          <w:divBdr>
            <w:top w:val="none" w:sz="0" w:space="0" w:color="auto"/>
            <w:left w:val="none" w:sz="0" w:space="0" w:color="auto"/>
            <w:bottom w:val="none" w:sz="0" w:space="0" w:color="auto"/>
            <w:right w:val="none" w:sz="0" w:space="0" w:color="auto"/>
          </w:divBdr>
        </w:div>
        <w:div w:id="1567574172">
          <w:marLeft w:val="0"/>
          <w:marRight w:val="0"/>
          <w:marTop w:val="0"/>
          <w:marBottom w:val="0"/>
          <w:divBdr>
            <w:top w:val="none" w:sz="0" w:space="0" w:color="auto"/>
            <w:left w:val="none" w:sz="0" w:space="0" w:color="auto"/>
            <w:bottom w:val="none" w:sz="0" w:space="0" w:color="auto"/>
            <w:right w:val="none" w:sz="0" w:space="0" w:color="auto"/>
          </w:divBdr>
        </w:div>
        <w:div w:id="1855879084">
          <w:marLeft w:val="0"/>
          <w:marRight w:val="0"/>
          <w:marTop w:val="0"/>
          <w:marBottom w:val="0"/>
          <w:divBdr>
            <w:top w:val="none" w:sz="0" w:space="0" w:color="auto"/>
            <w:left w:val="none" w:sz="0" w:space="0" w:color="auto"/>
            <w:bottom w:val="none" w:sz="0" w:space="0" w:color="auto"/>
            <w:right w:val="none" w:sz="0" w:space="0" w:color="auto"/>
          </w:divBdr>
        </w:div>
        <w:div w:id="1936286692">
          <w:marLeft w:val="0"/>
          <w:marRight w:val="0"/>
          <w:marTop w:val="0"/>
          <w:marBottom w:val="0"/>
          <w:divBdr>
            <w:top w:val="none" w:sz="0" w:space="0" w:color="auto"/>
            <w:left w:val="none" w:sz="0" w:space="0" w:color="auto"/>
            <w:bottom w:val="none" w:sz="0" w:space="0" w:color="auto"/>
            <w:right w:val="none" w:sz="0" w:space="0" w:color="auto"/>
          </w:divBdr>
        </w:div>
        <w:div w:id="2018533122">
          <w:marLeft w:val="0"/>
          <w:marRight w:val="0"/>
          <w:marTop w:val="0"/>
          <w:marBottom w:val="0"/>
          <w:divBdr>
            <w:top w:val="none" w:sz="0" w:space="0" w:color="auto"/>
            <w:left w:val="none" w:sz="0" w:space="0" w:color="auto"/>
            <w:bottom w:val="none" w:sz="0" w:space="0" w:color="auto"/>
            <w:right w:val="none" w:sz="0" w:space="0" w:color="auto"/>
          </w:divBdr>
        </w:div>
      </w:divsChild>
    </w:div>
    <w:div w:id="1671443287">
      <w:bodyDiv w:val="1"/>
      <w:marLeft w:val="0"/>
      <w:marRight w:val="0"/>
      <w:marTop w:val="0"/>
      <w:marBottom w:val="0"/>
      <w:divBdr>
        <w:top w:val="none" w:sz="0" w:space="0" w:color="auto"/>
        <w:left w:val="none" w:sz="0" w:space="0" w:color="auto"/>
        <w:bottom w:val="none" w:sz="0" w:space="0" w:color="auto"/>
        <w:right w:val="none" w:sz="0" w:space="0" w:color="auto"/>
      </w:divBdr>
      <w:divsChild>
        <w:div w:id="4985317">
          <w:marLeft w:val="0"/>
          <w:marRight w:val="0"/>
          <w:marTop w:val="0"/>
          <w:marBottom w:val="0"/>
          <w:divBdr>
            <w:top w:val="none" w:sz="0" w:space="0" w:color="auto"/>
            <w:left w:val="none" w:sz="0" w:space="0" w:color="auto"/>
            <w:bottom w:val="none" w:sz="0" w:space="0" w:color="auto"/>
            <w:right w:val="none" w:sz="0" w:space="0" w:color="auto"/>
          </w:divBdr>
        </w:div>
        <w:div w:id="175964403">
          <w:marLeft w:val="0"/>
          <w:marRight w:val="0"/>
          <w:marTop w:val="0"/>
          <w:marBottom w:val="0"/>
          <w:divBdr>
            <w:top w:val="none" w:sz="0" w:space="0" w:color="auto"/>
            <w:left w:val="none" w:sz="0" w:space="0" w:color="auto"/>
            <w:bottom w:val="none" w:sz="0" w:space="0" w:color="auto"/>
            <w:right w:val="none" w:sz="0" w:space="0" w:color="auto"/>
          </w:divBdr>
        </w:div>
        <w:div w:id="217936482">
          <w:marLeft w:val="0"/>
          <w:marRight w:val="0"/>
          <w:marTop w:val="0"/>
          <w:marBottom w:val="0"/>
          <w:divBdr>
            <w:top w:val="none" w:sz="0" w:space="0" w:color="auto"/>
            <w:left w:val="none" w:sz="0" w:space="0" w:color="auto"/>
            <w:bottom w:val="none" w:sz="0" w:space="0" w:color="auto"/>
            <w:right w:val="none" w:sz="0" w:space="0" w:color="auto"/>
          </w:divBdr>
        </w:div>
        <w:div w:id="233317992">
          <w:marLeft w:val="0"/>
          <w:marRight w:val="0"/>
          <w:marTop w:val="0"/>
          <w:marBottom w:val="0"/>
          <w:divBdr>
            <w:top w:val="none" w:sz="0" w:space="0" w:color="auto"/>
            <w:left w:val="none" w:sz="0" w:space="0" w:color="auto"/>
            <w:bottom w:val="none" w:sz="0" w:space="0" w:color="auto"/>
            <w:right w:val="none" w:sz="0" w:space="0" w:color="auto"/>
          </w:divBdr>
        </w:div>
        <w:div w:id="376903605">
          <w:marLeft w:val="0"/>
          <w:marRight w:val="0"/>
          <w:marTop w:val="0"/>
          <w:marBottom w:val="0"/>
          <w:divBdr>
            <w:top w:val="none" w:sz="0" w:space="0" w:color="auto"/>
            <w:left w:val="none" w:sz="0" w:space="0" w:color="auto"/>
            <w:bottom w:val="none" w:sz="0" w:space="0" w:color="auto"/>
            <w:right w:val="none" w:sz="0" w:space="0" w:color="auto"/>
          </w:divBdr>
        </w:div>
        <w:div w:id="980187790">
          <w:marLeft w:val="0"/>
          <w:marRight w:val="0"/>
          <w:marTop w:val="0"/>
          <w:marBottom w:val="0"/>
          <w:divBdr>
            <w:top w:val="none" w:sz="0" w:space="0" w:color="auto"/>
            <w:left w:val="none" w:sz="0" w:space="0" w:color="auto"/>
            <w:bottom w:val="none" w:sz="0" w:space="0" w:color="auto"/>
            <w:right w:val="none" w:sz="0" w:space="0" w:color="auto"/>
          </w:divBdr>
        </w:div>
        <w:div w:id="1176652579">
          <w:marLeft w:val="0"/>
          <w:marRight w:val="0"/>
          <w:marTop w:val="0"/>
          <w:marBottom w:val="0"/>
          <w:divBdr>
            <w:top w:val="none" w:sz="0" w:space="0" w:color="auto"/>
            <w:left w:val="none" w:sz="0" w:space="0" w:color="auto"/>
            <w:bottom w:val="none" w:sz="0" w:space="0" w:color="auto"/>
            <w:right w:val="none" w:sz="0" w:space="0" w:color="auto"/>
          </w:divBdr>
        </w:div>
        <w:div w:id="1919975168">
          <w:marLeft w:val="0"/>
          <w:marRight w:val="0"/>
          <w:marTop w:val="0"/>
          <w:marBottom w:val="0"/>
          <w:divBdr>
            <w:top w:val="none" w:sz="0" w:space="0" w:color="auto"/>
            <w:left w:val="none" w:sz="0" w:space="0" w:color="auto"/>
            <w:bottom w:val="none" w:sz="0" w:space="0" w:color="auto"/>
            <w:right w:val="none" w:sz="0" w:space="0" w:color="auto"/>
          </w:divBdr>
        </w:div>
      </w:divsChild>
    </w:div>
    <w:div w:id="1782797384">
      <w:bodyDiv w:val="1"/>
      <w:marLeft w:val="0"/>
      <w:marRight w:val="0"/>
      <w:marTop w:val="0"/>
      <w:marBottom w:val="0"/>
      <w:divBdr>
        <w:top w:val="none" w:sz="0" w:space="0" w:color="auto"/>
        <w:left w:val="none" w:sz="0" w:space="0" w:color="auto"/>
        <w:bottom w:val="none" w:sz="0" w:space="0" w:color="auto"/>
        <w:right w:val="none" w:sz="0" w:space="0" w:color="auto"/>
      </w:divBdr>
      <w:divsChild>
        <w:div w:id="26564529">
          <w:marLeft w:val="0"/>
          <w:marRight w:val="0"/>
          <w:marTop w:val="0"/>
          <w:marBottom w:val="0"/>
          <w:divBdr>
            <w:top w:val="none" w:sz="0" w:space="0" w:color="auto"/>
            <w:left w:val="none" w:sz="0" w:space="0" w:color="auto"/>
            <w:bottom w:val="none" w:sz="0" w:space="0" w:color="auto"/>
            <w:right w:val="none" w:sz="0" w:space="0" w:color="auto"/>
          </w:divBdr>
        </w:div>
        <w:div w:id="304094161">
          <w:marLeft w:val="0"/>
          <w:marRight w:val="0"/>
          <w:marTop w:val="0"/>
          <w:marBottom w:val="0"/>
          <w:divBdr>
            <w:top w:val="none" w:sz="0" w:space="0" w:color="auto"/>
            <w:left w:val="none" w:sz="0" w:space="0" w:color="auto"/>
            <w:bottom w:val="none" w:sz="0" w:space="0" w:color="auto"/>
            <w:right w:val="none" w:sz="0" w:space="0" w:color="auto"/>
          </w:divBdr>
        </w:div>
        <w:div w:id="419640907">
          <w:marLeft w:val="0"/>
          <w:marRight w:val="0"/>
          <w:marTop w:val="0"/>
          <w:marBottom w:val="0"/>
          <w:divBdr>
            <w:top w:val="none" w:sz="0" w:space="0" w:color="auto"/>
            <w:left w:val="none" w:sz="0" w:space="0" w:color="auto"/>
            <w:bottom w:val="none" w:sz="0" w:space="0" w:color="auto"/>
            <w:right w:val="none" w:sz="0" w:space="0" w:color="auto"/>
          </w:divBdr>
        </w:div>
        <w:div w:id="942225964">
          <w:marLeft w:val="0"/>
          <w:marRight w:val="0"/>
          <w:marTop w:val="0"/>
          <w:marBottom w:val="0"/>
          <w:divBdr>
            <w:top w:val="none" w:sz="0" w:space="0" w:color="auto"/>
            <w:left w:val="none" w:sz="0" w:space="0" w:color="auto"/>
            <w:bottom w:val="none" w:sz="0" w:space="0" w:color="auto"/>
            <w:right w:val="none" w:sz="0" w:space="0" w:color="auto"/>
          </w:divBdr>
        </w:div>
        <w:div w:id="997920604">
          <w:marLeft w:val="0"/>
          <w:marRight w:val="0"/>
          <w:marTop w:val="0"/>
          <w:marBottom w:val="0"/>
          <w:divBdr>
            <w:top w:val="none" w:sz="0" w:space="0" w:color="auto"/>
            <w:left w:val="none" w:sz="0" w:space="0" w:color="auto"/>
            <w:bottom w:val="none" w:sz="0" w:space="0" w:color="auto"/>
            <w:right w:val="none" w:sz="0" w:space="0" w:color="auto"/>
          </w:divBdr>
        </w:div>
        <w:div w:id="1057171994">
          <w:marLeft w:val="0"/>
          <w:marRight w:val="0"/>
          <w:marTop w:val="0"/>
          <w:marBottom w:val="0"/>
          <w:divBdr>
            <w:top w:val="none" w:sz="0" w:space="0" w:color="auto"/>
            <w:left w:val="none" w:sz="0" w:space="0" w:color="auto"/>
            <w:bottom w:val="none" w:sz="0" w:space="0" w:color="auto"/>
            <w:right w:val="none" w:sz="0" w:space="0" w:color="auto"/>
          </w:divBdr>
        </w:div>
        <w:div w:id="1126118357">
          <w:marLeft w:val="0"/>
          <w:marRight w:val="0"/>
          <w:marTop w:val="0"/>
          <w:marBottom w:val="0"/>
          <w:divBdr>
            <w:top w:val="none" w:sz="0" w:space="0" w:color="auto"/>
            <w:left w:val="none" w:sz="0" w:space="0" w:color="auto"/>
            <w:bottom w:val="none" w:sz="0" w:space="0" w:color="auto"/>
            <w:right w:val="none" w:sz="0" w:space="0" w:color="auto"/>
          </w:divBdr>
        </w:div>
        <w:div w:id="1155223203">
          <w:marLeft w:val="0"/>
          <w:marRight w:val="0"/>
          <w:marTop w:val="0"/>
          <w:marBottom w:val="0"/>
          <w:divBdr>
            <w:top w:val="none" w:sz="0" w:space="0" w:color="auto"/>
            <w:left w:val="none" w:sz="0" w:space="0" w:color="auto"/>
            <w:bottom w:val="none" w:sz="0" w:space="0" w:color="auto"/>
            <w:right w:val="none" w:sz="0" w:space="0" w:color="auto"/>
          </w:divBdr>
        </w:div>
        <w:div w:id="1295405424">
          <w:marLeft w:val="0"/>
          <w:marRight w:val="0"/>
          <w:marTop w:val="0"/>
          <w:marBottom w:val="0"/>
          <w:divBdr>
            <w:top w:val="none" w:sz="0" w:space="0" w:color="auto"/>
            <w:left w:val="none" w:sz="0" w:space="0" w:color="auto"/>
            <w:bottom w:val="none" w:sz="0" w:space="0" w:color="auto"/>
            <w:right w:val="none" w:sz="0" w:space="0" w:color="auto"/>
          </w:divBdr>
        </w:div>
        <w:div w:id="1420952024">
          <w:marLeft w:val="0"/>
          <w:marRight w:val="0"/>
          <w:marTop w:val="0"/>
          <w:marBottom w:val="0"/>
          <w:divBdr>
            <w:top w:val="none" w:sz="0" w:space="0" w:color="auto"/>
            <w:left w:val="none" w:sz="0" w:space="0" w:color="auto"/>
            <w:bottom w:val="none" w:sz="0" w:space="0" w:color="auto"/>
            <w:right w:val="none" w:sz="0" w:space="0" w:color="auto"/>
          </w:divBdr>
        </w:div>
        <w:div w:id="1453354296">
          <w:marLeft w:val="0"/>
          <w:marRight w:val="0"/>
          <w:marTop w:val="0"/>
          <w:marBottom w:val="0"/>
          <w:divBdr>
            <w:top w:val="none" w:sz="0" w:space="0" w:color="auto"/>
            <w:left w:val="none" w:sz="0" w:space="0" w:color="auto"/>
            <w:bottom w:val="none" w:sz="0" w:space="0" w:color="auto"/>
            <w:right w:val="none" w:sz="0" w:space="0" w:color="auto"/>
          </w:divBdr>
        </w:div>
      </w:divsChild>
    </w:div>
    <w:div w:id="1928807940">
      <w:bodyDiv w:val="1"/>
      <w:marLeft w:val="0"/>
      <w:marRight w:val="0"/>
      <w:marTop w:val="0"/>
      <w:marBottom w:val="0"/>
      <w:divBdr>
        <w:top w:val="none" w:sz="0" w:space="0" w:color="auto"/>
        <w:left w:val="none" w:sz="0" w:space="0" w:color="auto"/>
        <w:bottom w:val="none" w:sz="0" w:space="0" w:color="auto"/>
        <w:right w:val="none" w:sz="0" w:space="0" w:color="auto"/>
      </w:divBdr>
      <w:divsChild>
        <w:div w:id="91367591">
          <w:marLeft w:val="0"/>
          <w:marRight w:val="0"/>
          <w:marTop w:val="0"/>
          <w:marBottom w:val="0"/>
          <w:divBdr>
            <w:top w:val="none" w:sz="0" w:space="0" w:color="auto"/>
            <w:left w:val="none" w:sz="0" w:space="0" w:color="auto"/>
            <w:bottom w:val="none" w:sz="0" w:space="0" w:color="auto"/>
            <w:right w:val="none" w:sz="0" w:space="0" w:color="auto"/>
          </w:divBdr>
        </w:div>
        <w:div w:id="500126815">
          <w:marLeft w:val="0"/>
          <w:marRight w:val="0"/>
          <w:marTop w:val="0"/>
          <w:marBottom w:val="0"/>
          <w:divBdr>
            <w:top w:val="none" w:sz="0" w:space="0" w:color="auto"/>
            <w:left w:val="none" w:sz="0" w:space="0" w:color="auto"/>
            <w:bottom w:val="none" w:sz="0" w:space="0" w:color="auto"/>
            <w:right w:val="none" w:sz="0" w:space="0" w:color="auto"/>
          </w:divBdr>
        </w:div>
        <w:div w:id="674649925">
          <w:marLeft w:val="0"/>
          <w:marRight w:val="0"/>
          <w:marTop w:val="0"/>
          <w:marBottom w:val="0"/>
          <w:divBdr>
            <w:top w:val="none" w:sz="0" w:space="0" w:color="auto"/>
            <w:left w:val="none" w:sz="0" w:space="0" w:color="auto"/>
            <w:bottom w:val="none" w:sz="0" w:space="0" w:color="auto"/>
            <w:right w:val="none" w:sz="0" w:space="0" w:color="auto"/>
          </w:divBdr>
        </w:div>
        <w:div w:id="792751981">
          <w:marLeft w:val="0"/>
          <w:marRight w:val="0"/>
          <w:marTop w:val="0"/>
          <w:marBottom w:val="0"/>
          <w:divBdr>
            <w:top w:val="none" w:sz="0" w:space="0" w:color="auto"/>
            <w:left w:val="none" w:sz="0" w:space="0" w:color="auto"/>
            <w:bottom w:val="none" w:sz="0" w:space="0" w:color="auto"/>
            <w:right w:val="none" w:sz="0" w:space="0" w:color="auto"/>
          </w:divBdr>
        </w:div>
        <w:div w:id="1217739065">
          <w:marLeft w:val="0"/>
          <w:marRight w:val="0"/>
          <w:marTop w:val="0"/>
          <w:marBottom w:val="0"/>
          <w:divBdr>
            <w:top w:val="none" w:sz="0" w:space="0" w:color="auto"/>
            <w:left w:val="none" w:sz="0" w:space="0" w:color="auto"/>
            <w:bottom w:val="none" w:sz="0" w:space="0" w:color="auto"/>
            <w:right w:val="none" w:sz="0" w:space="0" w:color="auto"/>
          </w:divBdr>
        </w:div>
        <w:div w:id="1368990887">
          <w:marLeft w:val="0"/>
          <w:marRight w:val="0"/>
          <w:marTop w:val="0"/>
          <w:marBottom w:val="0"/>
          <w:divBdr>
            <w:top w:val="none" w:sz="0" w:space="0" w:color="auto"/>
            <w:left w:val="none" w:sz="0" w:space="0" w:color="auto"/>
            <w:bottom w:val="none" w:sz="0" w:space="0" w:color="auto"/>
            <w:right w:val="none" w:sz="0" w:space="0" w:color="auto"/>
          </w:divBdr>
        </w:div>
        <w:div w:id="1515147816">
          <w:marLeft w:val="0"/>
          <w:marRight w:val="0"/>
          <w:marTop w:val="0"/>
          <w:marBottom w:val="0"/>
          <w:divBdr>
            <w:top w:val="none" w:sz="0" w:space="0" w:color="auto"/>
            <w:left w:val="none" w:sz="0" w:space="0" w:color="auto"/>
            <w:bottom w:val="none" w:sz="0" w:space="0" w:color="auto"/>
            <w:right w:val="none" w:sz="0" w:space="0" w:color="auto"/>
          </w:divBdr>
        </w:div>
        <w:div w:id="1613241311">
          <w:marLeft w:val="0"/>
          <w:marRight w:val="0"/>
          <w:marTop w:val="0"/>
          <w:marBottom w:val="0"/>
          <w:divBdr>
            <w:top w:val="none" w:sz="0" w:space="0" w:color="auto"/>
            <w:left w:val="none" w:sz="0" w:space="0" w:color="auto"/>
            <w:bottom w:val="none" w:sz="0" w:space="0" w:color="auto"/>
            <w:right w:val="none" w:sz="0" w:space="0" w:color="auto"/>
          </w:divBdr>
        </w:div>
        <w:div w:id="1647125363">
          <w:marLeft w:val="0"/>
          <w:marRight w:val="0"/>
          <w:marTop w:val="0"/>
          <w:marBottom w:val="0"/>
          <w:divBdr>
            <w:top w:val="none" w:sz="0" w:space="0" w:color="auto"/>
            <w:left w:val="none" w:sz="0" w:space="0" w:color="auto"/>
            <w:bottom w:val="none" w:sz="0" w:space="0" w:color="auto"/>
            <w:right w:val="none" w:sz="0" w:space="0" w:color="auto"/>
          </w:divBdr>
        </w:div>
        <w:div w:id="1945644935">
          <w:marLeft w:val="0"/>
          <w:marRight w:val="0"/>
          <w:marTop w:val="0"/>
          <w:marBottom w:val="0"/>
          <w:divBdr>
            <w:top w:val="none" w:sz="0" w:space="0" w:color="auto"/>
            <w:left w:val="none" w:sz="0" w:space="0" w:color="auto"/>
            <w:bottom w:val="none" w:sz="0" w:space="0" w:color="auto"/>
            <w:right w:val="none" w:sz="0" w:space="0" w:color="auto"/>
          </w:divBdr>
        </w:div>
        <w:div w:id="198006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uchana\Downloads\_VCAT%20Order%20&amp;%20Reasons%20V3a%20(Universal)%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51B8-F7F0-4962-97A4-B934D13E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_VCAT Order &amp; Reasons V3a (Universal) .dot</Template>
  <TotalTime>1</TotalTime>
  <Pages>10</Pages>
  <Words>3386</Words>
  <Characters>16724</Characters>
  <Application>Microsoft Office Word</Application>
  <DocSecurity>8</DocSecurity>
  <Lines>139</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VICTORIAN CIVIL AND ADMINISTRATIVE TRIBUNAL</vt:lpstr>
      <vt:lpstr>VICTORIAN CIVIL AND ADMINISTRATIVE TRIBUNAL</vt:lpstr>
    </vt:vector>
  </TitlesOfParts>
  <Company>Luffi</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Robert Buchanan</dc:creator>
  <cp:keywords/>
  <cp:lastModifiedBy>Robin E Bloxwich (CSV)</cp:lastModifiedBy>
  <cp:revision>3</cp:revision>
  <cp:lastPrinted>2019-05-23T01:09:00Z</cp:lastPrinted>
  <dcterms:created xsi:type="dcterms:W3CDTF">2019-05-24T00:32:00Z</dcterms:created>
  <dcterms:modified xsi:type="dcterms:W3CDTF">2019-05-24T00:34:00Z</dcterms:modified>
</cp:coreProperties>
</file>